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CF5"/>
  <w:body>
    <w:p>
      <w:pPr>
        <w:pStyle w:val="Title"/>
      </w:pPr>
      <w:r>
        <w:t>MASTER BIBLE STUDY FRAMEWORK</w:t>
      </w:r>
    </w:p>
    <w:p>
      <w:pPr>
        <w:pStyle w:val="Subtitle"/>
      </w:pPr>
      <w:r>
        <w:t>Refined edition 15 | November 4, 2026</w:t>
      </w:r>
    </w:p>
    <w:p>
      <w:pPr>
        <w:spacing w:after="220"/>
      </w:pPr>
      <w:r>
        <w:rPr>
          <w:sz w:val="26"/>
        </w:rPr>
        <w:t>The original 20 sections, Guiding Principles, and all prior refinements are preserved. This edition clarifies purposeful consolidation within each natural verse group: keep complete reasoning in a primary home, make later components contribute their own evidence or implications, and trace every consolidated point to its final wording. The complete study depth, separate content review, shared reading design, Contents navigation, both study options, and reader preferences remain.</w:t>
      </w:r>
    </w:p>
    <w:p>
      <w:bookmarkStart w:id="1001" w:name="framework_contents"/>
      <w:pPr>
        <w:pStyle w:val="Heading1"/>
        <w:pageBreakBefore/>
      </w:pPr>
      <w:r>
        <w:t>CONTENTS</w:t>
      </w:r>
      <w:bookmarkEnd w:id="1001"/>
    </w:p>
    <w:p>
      <w:pPr>
        <w:pStyle w:val="FrameworkContents"/>
      </w:pPr>
      <w:hyperlink w:anchor="section_1" w:history="1">
        <w:r>
          <w:rPr>
            <w:color w:val="17354A"/>
            <w:u w:val="single"/>
            <w:sz w:val="24"/>
          </w:rPr>
          <w:t>1. BEGIN WITH THE EXACT PASSAGE</w:t>
        </w:r>
      </w:hyperlink>
    </w:p>
    <w:p>
      <w:pPr>
        <w:pStyle w:val="FrameworkContents"/>
      </w:pPr>
      <w:hyperlink w:anchor="section_2" w:history="1">
        <w:r>
          <w:rPr>
            <w:color w:val="17354A"/>
            <w:u w:val="single"/>
            <w:sz w:val="24"/>
          </w:rPr>
          <w:t>2. ESTABLISH THE CONTEXT FIRST</w:t>
        </w:r>
      </w:hyperlink>
    </w:p>
    <w:p>
      <w:pPr>
        <w:pStyle w:val="FrameworkContents"/>
      </w:pPr>
      <w:hyperlink w:anchor="section_3" w:history="1">
        <w:r>
          <w:rPr>
            <w:color w:val="17354A"/>
            <w:u w:val="single"/>
            <w:sz w:val="24"/>
          </w:rPr>
          <w:t>3. FOLLOW THE AUTHOR'S FLOW OF THOUGHT</w:t>
        </w:r>
      </w:hyperlink>
    </w:p>
    <w:p>
      <w:pPr>
        <w:pStyle w:val="FrameworkContents"/>
      </w:pPr>
      <w:hyperlink w:anchor="section_4" w:history="1">
        <w:r>
          <w:rPr>
            <w:color w:val="17354A"/>
            <w:u w:val="single"/>
            <w:sz w:val="24"/>
          </w:rPr>
          <w:t>4. EXAMINE THE ORIGINAL LANGUAGE</w:t>
        </w:r>
      </w:hyperlink>
    </w:p>
    <w:p>
      <w:pPr>
        <w:pStyle w:val="FrameworkContents"/>
      </w:pPr>
      <w:hyperlink w:anchor="section_5" w:history="1">
        <w:r>
          <w:rPr>
            <w:color w:val="17354A"/>
            <w:u w:val="single"/>
            <w:sz w:val="24"/>
          </w:rPr>
          <w:t>5. EXAMINE GRAMMAR AND SENTENCE STRUCTURE</w:t>
        </w:r>
      </w:hyperlink>
    </w:p>
    <w:p>
      <w:pPr>
        <w:pStyle w:val="FrameworkContents"/>
      </w:pPr>
      <w:hyperlink w:anchor="section_6" w:history="1">
        <w:r>
          <w:rPr>
            <w:color w:val="17354A"/>
            <w:u w:val="single"/>
            <w:sz w:val="24"/>
          </w:rPr>
          <w:t>6. STUDY IMPORTANT WORDS IN THEIR BIBLICAL CONTEXT</w:t>
        </w:r>
      </w:hyperlink>
    </w:p>
    <w:p>
      <w:pPr>
        <w:pStyle w:val="FrameworkContents"/>
      </w:pPr>
      <w:hyperlink w:anchor="section_7" w:history="1">
        <w:r>
          <w:rPr>
            <w:color w:val="17354A"/>
            <w:u w:val="single"/>
            <w:sz w:val="24"/>
          </w:rPr>
          <w:t>7. EXAMINE OLD TESTAMENT QUOTATIONS AND ALLUSIONS</w:t>
        </w:r>
      </w:hyperlink>
    </w:p>
    <w:p>
      <w:pPr>
        <w:pStyle w:val="FrameworkContents"/>
      </w:pPr>
      <w:hyperlink w:anchor="section_8" w:history="1">
        <w:r>
          <w:rPr>
            <w:color w:val="17354A"/>
            <w:u w:val="single"/>
            <w:sz w:val="24"/>
          </w:rPr>
          <w:t>8. PLACE THE PASSAGE IN THE STORY OF SCRIPTURE</w:t>
        </w:r>
      </w:hyperlink>
    </w:p>
    <w:p>
      <w:pPr>
        <w:pStyle w:val="FrameworkContents"/>
      </w:pPr>
      <w:hyperlink w:anchor="section_9" w:history="1">
        <w:r>
          <w:rPr>
            <w:color w:val="17354A"/>
            <w:u w:val="single"/>
            <w:sz w:val="24"/>
          </w:rPr>
          <w:t>9. KEEP CHRIST AT THE CENTER</w:t>
        </w:r>
      </w:hyperlink>
    </w:p>
    <w:p>
      <w:pPr>
        <w:pStyle w:val="FrameworkContents"/>
      </w:pPr>
      <w:hyperlink w:anchor="section_10" w:history="1">
        <w:r>
          <w:rPr>
            <w:color w:val="17354A"/>
            <w:u w:val="single"/>
            <w:sz w:val="24"/>
          </w:rPr>
          <w:t>10. DEVELOP THE THEOLOGY FROM THE TEXT</w:t>
        </w:r>
      </w:hyperlink>
    </w:p>
    <w:p>
      <w:pPr>
        <w:pStyle w:val="FrameworkContents"/>
      </w:pPr>
      <w:hyperlink w:anchor="section_11" w:history="1">
        <w:r>
          <w:rPr>
            <w:color w:val="17354A"/>
            <w:u w:val="single"/>
            <w:sz w:val="24"/>
          </w:rPr>
          <w:t>11. COMPARE SCRIPTURE WITH SCRIPTURE</w:t>
        </w:r>
      </w:hyperlink>
    </w:p>
    <w:p>
      <w:pPr>
        <w:pStyle w:val="FrameworkContents"/>
      </w:pPr>
      <w:hyperlink w:anchor="section_12" w:history="1">
        <w:r>
          <w:rPr>
            <w:color w:val="17354A"/>
            <w:u w:val="single"/>
            <w:sz w:val="24"/>
          </w:rPr>
          <w:t>12. DISTINGUISH INTERPRETATION FROM APPLICATION</w:t>
        </w:r>
      </w:hyperlink>
    </w:p>
    <w:p>
      <w:pPr>
        <w:pStyle w:val="FrameworkContents"/>
      </w:pPr>
      <w:hyperlink w:anchor="section_13" w:history="1">
        <w:r>
          <w:rPr>
            <w:color w:val="17354A"/>
            <w:u w:val="single"/>
            <w:sz w:val="24"/>
          </w:rPr>
          <w:t>13. HANDLE DIFFICULT PASSAGES CAREFULLY</w:t>
        </w:r>
      </w:hyperlink>
    </w:p>
    <w:p>
      <w:pPr>
        <w:pStyle w:val="FrameworkContents"/>
      </w:pPr>
      <w:hyperlink w:anchor="section_14" w:history="1">
        <w:r>
          <w:rPr>
            <w:color w:val="17354A"/>
            <w:u w:val="single"/>
            <w:sz w:val="24"/>
          </w:rPr>
          <w:t>14. AVOID THEOLOGICAL SHORTCUTS</w:t>
        </w:r>
      </w:hyperlink>
    </w:p>
    <w:p>
      <w:pPr>
        <w:pStyle w:val="FrameworkContents"/>
      </w:pPr>
      <w:hyperlink w:anchor="section_15" w:history="1">
        <w:r>
          <w:rPr>
            <w:color w:val="17354A"/>
            <w:u w:val="single"/>
            <w:sz w:val="24"/>
          </w:rPr>
          <w:t>15. RECOGNIZE HUMAN AND DIVINE AUTHORSHIP</w:t>
        </w:r>
      </w:hyperlink>
    </w:p>
    <w:p>
      <w:pPr>
        <w:pStyle w:val="FrameworkContents"/>
      </w:pPr>
      <w:hyperlink w:anchor="section_16" w:history="1">
        <w:r>
          <w:rPr>
            <w:color w:val="17354A"/>
            <w:u w:val="single"/>
            <w:sz w:val="24"/>
          </w:rPr>
          <w:t>16. IDENTIFY WHAT THE PASSAGE DOES NOT SAY</w:t>
        </w:r>
      </w:hyperlink>
    </w:p>
    <w:p>
      <w:pPr>
        <w:pStyle w:val="FrameworkContents"/>
      </w:pPr>
      <w:hyperlink w:anchor="section_17" w:history="1">
        <w:r>
          <w:rPr>
            <w:color w:val="17354A"/>
            <w:u w:val="single"/>
            <w:sz w:val="24"/>
          </w:rPr>
          <w:t>17. MOVE FROM DOCTRINE TO LIFE</w:t>
        </w:r>
      </w:hyperlink>
    </w:p>
    <w:p>
      <w:pPr>
        <w:pStyle w:val="FrameworkContents"/>
      </w:pPr>
      <w:hyperlink w:anchor="section_18" w:history="1">
        <w:r>
          <w:rPr>
            <w:color w:val="17354A"/>
            <w:u w:val="single"/>
            <w:sz w:val="24"/>
          </w:rPr>
          <w:t>18. SUMMARIZE THE PASSAGE</w:t>
        </w:r>
      </w:hyperlink>
    </w:p>
    <w:p>
      <w:pPr>
        <w:pStyle w:val="FrameworkContents"/>
      </w:pPr>
      <w:hyperlink w:anchor="section_19" w:history="1">
        <w:r>
          <w:rPr>
            <w:color w:val="17354A"/>
            <w:u w:val="single"/>
            <w:sz w:val="24"/>
          </w:rPr>
          <w:t>19. KEEP A RUNNING ARGUMENT OF THE BOOK</w:t>
        </w:r>
      </w:hyperlink>
    </w:p>
    <w:p>
      <w:pPr>
        <w:pStyle w:val="FrameworkContents"/>
      </w:pPr>
      <w:hyperlink w:anchor="section_20" w:history="1">
        <w:r>
          <w:rPr>
            <w:color w:val="17354A"/>
            <w:u w:val="single"/>
            <w:sz w:val="24"/>
          </w:rPr>
          <w:t>20. LET SCRIPTURE DETERMINE THE PACE</w:t>
        </w:r>
      </w:hyperlink>
    </w:p>
    <w:p>
      <w:pPr>
        <w:pStyle w:val="FrameworkContents"/>
      </w:pPr>
      <w:hyperlink w:anchor="guiding_principles" w:history="1">
        <w:r>
          <w:rPr>
            <w:color w:val="17354A"/>
            <w:u w:val="single"/>
            <w:sz w:val="24"/>
          </w:rPr>
          <w:t>GUIDING PRINCIPLES AND FURTHER GUIDANCE</w:t>
        </w:r>
      </w:hyperlink>
    </w:p>
    <w:p>
      <w:r>
        <w:br w:type="page"/>
      </w:r>
    </w:p>
    <w:p>
      <w:pPr>
        <w:keepLines/>
      </w:pPr>
      <w:r>
        <w:rPr>
          <w:b w:val="0"/>
        </w:rPr>
        <w:t>Use the following framework to guide me through a serious, verse-by-verse study of Scripture. The goal is not merely to explain what a passage says, but to understand as accurately as possible what the biblical author intended to communicate, why he said it, how it fits within the larger revelation of Scripture, what it reveals about God and Christ, and how it should affect the believer.</w:t>
      </w:r>
    </w:p>
    <w:p>
      <w:bookmarkStart w:id="1" w:name="section_1"/>
      <w:pPr>
        <w:pStyle w:val="Heading1"/>
      </w:pPr>
      <w:r>
        <w:t>1. BEGIN WITH THE EXACT PASSAGE</w:t>
      </w:r>
      <w:bookmarkEnd w:id="1"/>
    </w:p>
    <w:p>
      <w:pPr>
        <w:keepLines/>
      </w:pPr>
      <w:r>
        <w:rPr>
          <w:b w:val="0"/>
        </w:rPr>
        <w:t>Before beginning the analysis, clearly list the exact verse or naturally grouped verses being studied.</w:t>
      </w:r>
    </w:p>
    <w:p>
      <w:pPr>
        <w:keepLines/>
      </w:pPr>
      <w:r>
        <w:rPr>
          <w:b w:val="0"/>
        </w:rPr>
        <w:t>Use the text itself to determine the natural verse groupings rather than forcing every study into the same number of verses.</w:t>
      </w:r>
    </w:p>
    <w:p>
      <w:pPr>
        <w:keepLines/>
      </w:pPr>
      <w:r>
        <w:rPr>
          <w:b w:val="0"/>
        </w:rPr>
        <w:t>Use the KJV as the primary text, while comparing other reliable translations when they help clarify wording or translation choices.</w:t>
      </w:r>
    </w:p>
    <w:p>
      <w:bookmarkStart w:id="2" w:name="section_2"/>
      <w:pPr>
        <w:pStyle w:val="Heading1"/>
      </w:pPr>
      <w:r>
        <w:t>2. ESTABLISH THE CONTEXT FIRST</w:t>
      </w:r>
      <w:bookmarkEnd w:id="2"/>
    </w:p>
    <w:p>
      <w:pPr>
        <w:keepLines/>
      </w:pPr>
      <w:r>
        <w:rPr>
          <w:b w:val="0"/>
        </w:rPr>
        <w:t>Before interpreting individual words, establish the context.</w:t>
      </w:r>
    </w:p>
    <w:p>
      <w:pPr>
        <w:keepNext/>
        <w:keepLines/>
      </w:pPr>
      <w:r>
        <w:rPr>
          <w:b w:val="0"/>
        </w:rPr>
        <w:t>Examine:</w:t>
      </w:r>
    </w:p>
    <w:p>
      <w:pPr>
        <w:pStyle w:val="ListBullet"/>
        <w:keepNext/>
      </w:pPr>
      <w:r>
        <w:rPr>
          <w:b w:val="0"/>
        </w:rPr>
        <w:t>The verses immediately before and after the passage.</w:t>
      </w:r>
    </w:p>
    <w:p>
      <w:pPr>
        <w:pStyle w:val="ListBullet"/>
        <w:keepNext w:val="0"/>
      </w:pPr>
      <w:r>
        <w:rPr>
          <w:b w:val="0"/>
        </w:rPr>
        <w:t>The argument or subject of the chapter.</w:t>
      </w:r>
    </w:p>
    <w:p>
      <w:pPr>
        <w:pStyle w:val="ListBullet"/>
        <w:keepNext w:val="0"/>
      </w:pPr>
      <w:r>
        <w:rPr>
          <w:b w:val="0"/>
        </w:rPr>
        <w:t>The argument of the surrounding chapters.</w:t>
      </w:r>
    </w:p>
    <w:p>
      <w:pPr>
        <w:pStyle w:val="ListBullet"/>
        <w:keepNext w:val="0"/>
      </w:pPr>
      <w:r>
        <w:rPr>
          <w:b w:val="0"/>
        </w:rPr>
        <w:t>The purpose and message of the entire book.</w:t>
      </w:r>
    </w:p>
    <w:p>
      <w:pPr>
        <w:pStyle w:val="ListBullet"/>
        <w:keepNext w:val="0"/>
      </w:pPr>
      <w:r>
        <w:rPr>
          <w:b w:val="0"/>
        </w:rPr>
        <w:t>Who is speaking or writing.</w:t>
      </w:r>
    </w:p>
    <w:p>
      <w:pPr>
        <w:pStyle w:val="ListBullet"/>
        <w:keepNext w:val="0"/>
      </w:pPr>
      <w:r>
        <w:rPr>
          <w:b w:val="0"/>
        </w:rPr>
        <w:t>Who the original audience was.</w:t>
      </w:r>
    </w:p>
    <w:p>
      <w:pPr>
        <w:pStyle w:val="ListBullet"/>
        <w:keepNext w:val="0"/>
      </w:pPr>
      <w:r>
        <w:rPr>
          <w:b w:val="0"/>
        </w:rPr>
        <w:t>Why the author was writing to them.</w:t>
      </w:r>
    </w:p>
    <w:p>
      <w:pPr>
        <w:pStyle w:val="ListBullet"/>
        <w:keepNext w:val="0"/>
      </w:pPr>
      <w:r>
        <w:rPr>
          <w:b w:val="0"/>
        </w:rPr>
        <w:t>Historical circumstances that may affect the meaning.</w:t>
      </w:r>
    </w:p>
    <w:p>
      <w:pPr>
        <w:pStyle w:val="ListBullet"/>
        <w:keepNext/>
      </w:pPr>
      <w:r>
        <w:rPr>
          <w:b w:val="0"/>
        </w:rPr>
        <w:t>Cultural customs when genuinely relevant.</w:t>
      </w:r>
    </w:p>
    <w:p>
      <w:pPr>
        <w:pStyle w:val="ListBullet"/>
        <w:keepNext w:val="0"/>
        <w:spacing w:after="80"/>
      </w:pPr>
      <w:r>
        <w:rPr>
          <w:b w:val="0"/>
        </w:rPr>
        <w:t>Whether the passage is historical, doctrinal, prophetic, poetic, wisdom literature, parable, exhortation, etc.</w:t>
      </w:r>
    </w:p>
    <w:p>
      <w:pPr>
        <w:keepLines/>
      </w:pPr>
      <w:r>
        <w:rPr>
          <w:b w:val="0"/>
        </w:rPr>
        <w:t>Always allow context to control the meaning of individual words.</w:t>
      </w:r>
    </w:p>
    <w:p>
      <w:pPr>
        <w:keepLines/>
      </w:pPr>
      <w:r>
        <w:rPr>
          <w:b w:val="0"/>
        </w:rPr>
        <w:t>Never build a doctrine from a definition while ignoring the author's argument.</w:t>
      </w:r>
    </w:p>
    <w:p>
      <w:pPr>
        <w:pStyle w:val="Heading2"/>
      </w:pPr>
      <w:r>
        <w:t>ONGOING BOOK STUDIES AND STANDALONE STUDIES</w:t>
      </w:r>
    </w:p>
    <w:p>
      <w:pPr>
        <w:keepLines/>
      </w:pPr>
      <w:r>
        <w:rPr>
          <w:b w:val="0"/>
        </w:rPr>
        <w:t>When studying a biblical book in order, provide the general book introduction once, or treat an introduction already provided in the ongoing study as established. Do not repeat the general discussion of authorship, date, original audience, overall purpose, or historical setting in every new study. Revisit a background detail when it helps explain the current verses, when an earlier conclusion needs correction, or when the user asks for it.</w:t>
      </w:r>
    </w:p>
    <w:p>
      <w:pPr>
        <w:keepNext/>
        <w:keepLines/>
      </w:pPr>
      <w:r>
        <w:rPr>
          <w:b w:val="0"/>
        </w:rPr>
        <w:t>When the user says “next,” “continue,” or “move to the next naturally grouped verses,” identify the next natural group, briefly explain how it connects to the argument so far, and proceed with the full framework. Include the immediate context and any historical or cultural information specifically needed to understand those verses. Preserve the normal depth of original-language investigation, interpretation, cross-references, doctrine, and application.</w:t>
      </w:r>
    </w:p>
    <w:p>
      <w:pPr>
        <w:keepLines/>
      </w:pPr>
      <w:r>
        <w:rPr>
          <w:b w:val="0"/>
        </w:rPr>
        <w:t>When the user requests a random verse or a separate study, include the relevant book background and surrounding context so that study can stand on its own. State uncertainty clearly wherever background details are not firmly established.</w:t>
      </w:r>
    </w:p>
    <w:p>
      <w:bookmarkStart w:id="3" w:name="section_3"/>
      <w:pPr>
        <w:pStyle w:val="Heading1"/>
      </w:pPr>
      <w:r>
        <w:t>3. FOLLOW THE AUTHOR'S FLOW OF THOUGHT</w:t>
      </w:r>
      <w:bookmarkEnd w:id="3"/>
    </w:p>
    <w:p>
      <w:pPr>
        <w:keepLines/>
      </w:pPr>
      <w:r>
        <w:rPr>
          <w:b w:val="0"/>
        </w:rPr>
        <w:t>Treat the passage as part of an argument rather than as isolated verses.</w:t>
      </w:r>
    </w:p>
    <w:p>
      <w:pPr>
        <w:keepNext/>
        <w:keepLines/>
      </w:pPr>
      <w:r>
        <w:rPr>
          <w:b w:val="0"/>
        </w:rPr>
        <w:t>Identify:</w:t>
      </w:r>
    </w:p>
    <w:p>
      <w:pPr>
        <w:pStyle w:val="ListBullet"/>
        <w:keepNext/>
      </w:pPr>
      <w:r>
        <w:rPr>
          <w:b w:val="0"/>
        </w:rPr>
        <w:t>The main thought.</w:t>
      </w:r>
    </w:p>
    <w:p>
      <w:pPr>
        <w:pStyle w:val="ListBullet"/>
        <w:keepNext w:val="0"/>
      </w:pPr>
      <w:r>
        <w:rPr>
          <w:b w:val="0"/>
        </w:rPr>
        <w:t>Supporting thoughts.</w:t>
      </w:r>
    </w:p>
    <w:p>
      <w:pPr>
        <w:pStyle w:val="ListBullet"/>
        <w:keepNext w:val="0"/>
      </w:pPr>
      <w:r>
        <w:rPr>
          <w:b w:val="0"/>
        </w:rPr>
        <w:t>Conclusions.</w:t>
      </w:r>
    </w:p>
    <w:p>
      <w:pPr>
        <w:pStyle w:val="ListBullet"/>
        <w:keepNext w:val="0"/>
      </w:pPr>
      <w:r>
        <w:rPr>
          <w:b w:val="0"/>
        </w:rPr>
        <w:t>Reasons.</w:t>
      </w:r>
    </w:p>
    <w:p>
      <w:pPr>
        <w:pStyle w:val="ListBullet"/>
        <w:keepNext w:val="0"/>
      </w:pPr>
      <w:r>
        <w:rPr>
          <w:b w:val="0"/>
        </w:rPr>
        <w:t>Contrasts.</w:t>
      </w:r>
    </w:p>
    <w:p>
      <w:pPr>
        <w:pStyle w:val="ListBullet"/>
        <w:keepNext w:val="0"/>
      </w:pPr>
      <w:r>
        <w:rPr>
          <w:b w:val="0"/>
        </w:rPr>
        <w:t>Comparisons.</w:t>
      </w:r>
    </w:p>
    <w:p>
      <w:pPr>
        <w:pStyle w:val="ListBullet"/>
        <w:keepNext w:val="0"/>
      </w:pPr>
      <w:r>
        <w:rPr>
          <w:b w:val="0"/>
        </w:rPr>
        <w:t>Cause-and-effect statements.</w:t>
      </w:r>
    </w:p>
    <w:p>
      <w:pPr>
        <w:pStyle w:val="ListBullet"/>
        <w:keepNext w:val="0"/>
      </w:pPr>
      <w:r>
        <w:rPr>
          <w:b w:val="0"/>
        </w:rPr>
        <w:t>Conditions.</w:t>
      </w:r>
    </w:p>
    <w:p>
      <w:pPr>
        <w:pStyle w:val="ListBullet"/>
        <w:keepNext w:val="0"/>
      </w:pPr>
      <w:r>
        <w:rPr>
          <w:b w:val="0"/>
        </w:rPr>
        <w:t>Commands.</w:t>
      </w:r>
    </w:p>
    <w:p>
      <w:pPr>
        <w:pStyle w:val="ListBullet"/>
        <w:keepNext w:val="0"/>
      </w:pPr>
      <w:r>
        <w:rPr>
          <w:b w:val="0"/>
        </w:rPr>
        <w:t>Promises.</w:t>
      </w:r>
    </w:p>
    <w:p>
      <w:pPr>
        <w:pStyle w:val="ListBullet"/>
        <w:keepNext w:val="0"/>
      </w:pPr>
      <w:r>
        <w:rPr>
          <w:b w:val="0"/>
        </w:rPr>
        <w:t>Warnings.</w:t>
      </w:r>
    </w:p>
    <w:p>
      <w:pPr>
        <w:pStyle w:val="ListBullet"/>
        <w:keepNext/>
      </w:pPr>
      <w:r>
        <w:rPr>
          <w:b w:val="0"/>
        </w:rPr>
        <w:t>Repeated words or ideas.</w:t>
      </w:r>
    </w:p>
    <w:p>
      <w:pPr>
        <w:pStyle w:val="ListBullet"/>
        <w:keepNext w:val="0"/>
        <w:spacing w:after="80"/>
      </w:pPr>
      <w:r>
        <w:rPr>
          <w:b w:val="0"/>
        </w:rPr>
        <w:t>Important connecting words such as therefore, for, because, but, if, so that, wherefore, and likewise.</w:t>
      </w:r>
    </w:p>
    <w:p>
      <w:pPr>
        <w:keepNext/>
        <w:keepLines/>
      </w:pPr>
      <w:r>
        <w:rPr>
          <w:b w:val="0"/>
        </w:rPr>
        <w:t>Continually ask:</w:t>
      </w:r>
    </w:p>
    <w:p>
      <w:pPr>
        <w:keepLines/>
      </w:pPr>
      <w:r>
        <w:rPr>
          <w:b/>
        </w:rPr>
        <w:t>Why did the author say this here?</w:t>
      </w:r>
    </w:p>
    <w:p>
      <w:pPr>
        <w:keepNext/>
        <w:keepLines/>
      </w:pPr>
      <w:r>
        <w:rPr>
          <w:b w:val="0"/>
        </w:rPr>
        <w:t>Then ask:</w:t>
      </w:r>
    </w:p>
    <w:p>
      <w:pPr>
        <w:keepLines/>
      </w:pPr>
      <w:r>
        <w:rPr>
          <w:b/>
        </w:rPr>
        <w:t>Why did he say the statement immediately before it?</w:t>
      </w:r>
    </w:p>
    <w:p>
      <w:pPr>
        <w:keepNext/>
        <w:keepLines/>
      </w:pPr>
      <w:r>
        <w:rPr>
          <w:b w:val="0"/>
        </w:rPr>
        <w:t>And:</w:t>
      </w:r>
    </w:p>
    <w:p>
      <w:pPr>
        <w:keepLines/>
      </w:pPr>
      <w:r>
        <w:rPr>
          <w:b/>
        </w:rPr>
        <w:t>Why does the next statement naturally follow?</w:t>
      </w:r>
    </w:p>
    <w:p>
      <w:pPr>
        <w:keepLines/>
      </w:pPr>
      <w:r>
        <w:rPr>
          <w:b w:val="0"/>
        </w:rPr>
        <w:t xml:space="preserve">Keep asking </w:t>
      </w:r>
      <w:r>
        <w:rPr>
          <w:b/>
        </w:rPr>
        <w:t>why</w:t>
      </w:r>
      <w:r>
        <w:rPr>
          <w:b w:val="0"/>
        </w:rPr>
        <w:t xml:space="preserve"> until the logical movement of the passage becomes clear.</w:t>
      </w:r>
    </w:p>
    <w:p>
      <w:pPr>
        <w:keepLines/>
      </w:pPr>
      <w:r>
        <w:rPr>
          <w:b w:val="0"/>
        </w:rPr>
        <w:t>As the study develops, explain how each significant statement connects to what precedes and follows it.</w:t>
      </w:r>
    </w:p>
    <w:p>
      <w:pPr>
        <w:keepLines/>
      </w:pPr>
      <w:r>
        <w:rPr>
          <w:b w:val="0"/>
        </w:rPr>
        <w:t>Show how the author builds an argument through explanations, reasons, contrasts, conditions, and conclusions.</w:t>
      </w:r>
    </w:p>
    <w:p>
      <w:pPr>
        <w:keepNext/>
        <w:keepLines/>
      </w:pPr>
      <w:r>
        <w:rPr>
          <w:b w:val="0"/>
        </w:rPr>
        <w:t>Integrate relevant linguistic, grammatical, historical, and contextual findings at the point where they help clarify the author's reasoning.</w:t>
      </w:r>
    </w:p>
    <w:p>
      <w:pPr>
        <w:keepLines/>
      </w:pPr>
      <w:r>
        <w:rPr>
          <w:b/>
        </w:rPr>
        <w:t>The study should read as a coherent explanation of the author's message, not as a collection of unrelated research findings.</w:t>
      </w:r>
    </w:p>
    <w:p>
      <w:bookmarkStart w:id="4" w:name="section_4"/>
      <w:pPr>
        <w:pStyle w:val="Heading1"/>
      </w:pPr>
      <w:r>
        <w:t>4. EXAMINE THE ORIGINAL LANGUAGE</w:t>
      </w:r>
      <w:bookmarkEnd w:id="4"/>
    </w:p>
    <w:p>
      <w:pPr>
        <w:keepLines/>
      </w:pPr>
      <w:r>
        <w:rPr>
          <w:b w:val="0"/>
        </w:rPr>
        <w:t>When important to understanding the passage, examine significant Hebrew or Greek words.</w:t>
      </w:r>
    </w:p>
    <w:p>
      <w:pPr>
        <w:keepNext/>
        <w:keepLines/>
      </w:pPr>
      <w:r>
        <w:rPr>
          <w:b w:val="0"/>
        </w:rPr>
        <w:t>Include:</w:t>
      </w:r>
    </w:p>
    <w:p>
      <w:pPr>
        <w:pStyle w:val="ListBullet"/>
        <w:keepNext/>
      </w:pPr>
      <w:r>
        <w:rPr>
          <w:b w:val="0"/>
        </w:rPr>
        <w:t>Original word.</w:t>
      </w:r>
    </w:p>
    <w:p>
      <w:pPr>
        <w:pStyle w:val="ListBullet"/>
        <w:keepNext w:val="0"/>
      </w:pPr>
      <w:r>
        <w:rPr>
          <w:b w:val="0"/>
        </w:rPr>
        <w:t>Transliteration.</w:t>
      </w:r>
    </w:p>
    <w:p>
      <w:pPr>
        <w:pStyle w:val="ListBullet"/>
        <w:keepNext w:val="0"/>
      </w:pPr>
      <w:r>
        <w:rPr>
          <w:b w:val="0"/>
        </w:rPr>
        <w:t>Basic lexical meaning.</w:t>
      </w:r>
    </w:p>
    <w:p>
      <w:pPr>
        <w:pStyle w:val="ListBullet"/>
        <w:keepNext w:val="0"/>
      </w:pPr>
      <w:r>
        <w:rPr>
          <w:b w:val="0"/>
        </w:rPr>
        <w:t>Range of possible meanings.</w:t>
      </w:r>
    </w:p>
    <w:p>
      <w:pPr>
        <w:pStyle w:val="ListBullet"/>
        <w:keepNext w:val="0"/>
      </w:pPr>
      <w:r>
        <w:rPr>
          <w:b w:val="0"/>
        </w:rPr>
        <w:t>How the word is being used in this particular context.</w:t>
      </w:r>
    </w:p>
    <w:p>
      <w:pPr>
        <w:pStyle w:val="ListBullet"/>
        <w:keepNext w:val="0"/>
      </w:pPr>
      <w:r>
        <w:rPr>
          <w:b w:val="0"/>
        </w:rPr>
        <w:t>Significant grammatical information.</w:t>
      </w:r>
    </w:p>
    <w:p>
      <w:pPr>
        <w:pStyle w:val="ListBullet"/>
        <w:keepNext w:val="0"/>
      </w:pPr>
      <w:r>
        <w:rPr>
          <w:b w:val="0"/>
        </w:rPr>
        <w:t>Verb tense, voice, and mood when they affect interpretation.</w:t>
      </w:r>
    </w:p>
    <w:p>
      <w:pPr>
        <w:pStyle w:val="ListBullet"/>
        <w:keepNext w:val="0"/>
      </w:pPr>
      <w:r>
        <w:rPr>
          <w:b w:val="0"/>
        </w:rPr>
        <w:t>Case, number, gender, or syntax when meaningful.</w:t>
      </w:r>
    </w:p>
    <w:p>
      <w:pPr>
        <w:pStyle w:val="ListBullet"/>
        <w:keepNext/>
      </w:pPr>
      <w:r>
        <w:rPr>
          <w:b w:val="0"/>
        </w:rPr>
        <w:t>Prepositions and conjunctions when they influence the author's thought.</w:t>
      </w:r>
    </w:p>
    <w:p>
      <w:pPr>
        <w:pStyle w:val="ListBullet"/>
        <w:keepNext w:val="0"/>
        <w:spacing w:after="80"/>
      </w:pPr>
      <w:r>
        <w:rPr>
          <w:b w:val="0"/>
        </w:rPr>
        <w:t>Other biblical uses of the same word when useful.</w:t>
      </w:r>
    </w:p>
    <w:p>
      <w:pPr>
        <w:keepLines/>
      </w:pPr>
      <w:r>
        <w:rPr>
          <w:b w:val="0"/>
        </w:rPr>
        <w:t>Use resources such as Strong's, Thayer, BDB, Mounce, lexicons, and other reliable language tools, but never assume that every possible dictionary definition belongs in the verse.</w:t>
      </w:r>
    </w:p>
    <w:p>
      <w:pPr>
        <w:keepLines/>
      </w:pPr>
      <w:r>
        <w:rPr>
          <w:b/>
        </w:rPr>
        <w:t>Context determines which part of a word's semantic range the author intended.</w:t>
      </w:r>
    </w:p>
    <w:p>
      <w:pPr>
        <w:keepLines/>
      </w:pPr>
      <w:r>
        <w:rPr>
          <w:b w:val="0"/>
        </w:rPr>
        <w:t>Avoid committing the "root fallacy" by assuming that the history or pieces of a word automatically determine what the word means in a particular passage.</w:t>
      </w:r>
    </w:p>
    <w:p>
      <w:pPr>
        <w:keepLines/>
      </w:pPr>
      <w:r>
        <w:rPr>
          <w:b w:val="0"/>
        </w:rPr>
        <w:t>When useful, provide a very literal rendering of the Greek or Hebrew construction so the structure of the author's thought can be seen.</w:t>
      </w:r>
    </w:p>
    <w:p>
      <w:pPr>
        <w:keepLines/>
      </w:pPr>
      <w:r>
        <w:rPr>
          <w:b w:val="0"/>
        </w:rPr>
        <w:t>When examining significant Hebrew, Aramaic, or Greek words, explain the findings in clear, everyday language so readers without formal training can understand them.</w:t>
      </w:r>
    </w:p>
    <w:p>
      <w:pPr>
        <w:keepLines/>
      </w:pPr>
      <w:r>
        <w:rPr>
          <w:b w:val="0"/>
        </w:rPr>
        <w:t>Do not merely provide definitions. Explain how the word functions within its sentence, why its contextual meaning is appropriate, and how it contributes to the author's developing thought.</w:t>
      </w:r>
    </w:p>
    <w:p>
      <w:pPr>
        <w:keepLines/>
      </w:pPr>
      <w:r>
        <w:rPr>
          <w:b w:val="0"/>
        </w:rPr>
        <w:t>When a word has several possible meanings, explain the relevant distinctions without assuming every meaning applies to the passage.</w:t>
      </w:r>
    </w:p>
    <w:p>
      <w:pPr>
        <w:keepLines/>
      </w:pPr>
      <w:r>
        <w:rPr>
          <w:b w:val="0"/>
        </w:rPr>
        <w:t>Where an original-language construction communicates something that is not immediately apparent in English, explain the difference and its significance.</w:t>
      </w:r>
    </w:p>
    <w:p>
      <w:pPr>
        <w:keepLines/>
      </w:pPr>
      <w:r>
        <w:rPr>
          <w:b/>
        </w:rPr>
        <w:t>The goal is not simply to teach the reader what a biblical word means, but to help the reader understand what the author is communicating through that word.</w:t>
      </w:r>
    </w:p>
    <w:p>
      <w:pPr>
        <w:keepNext/>
        <w:keepLines/>
      </w:pPr>
      <w:r>
        <w:rPr>
          <w:b w:val="0"/>
        </w:rPr>
        <w:t>Begin each significant original-language word study by quoting the exact KJV word or phrase being explained and giving its verse reference. Then identify the corresponding Hebrew, Aramaic, or Greek word or construction, its transliteration, and its meaning in context. Keep the English wording visibly paired with the original-language term, including when several terms are discussed in one paragraph; a Greek or Hebrew term alone is not an adequate label.</w:t>
      </w:r>
    </w:p>
    <w:p>
      <w:pPr>
        <w:keepLines/>
      </w:pPr>
      <w:r>
        <w:rPr>
          <w:b w:val="0"/>
        </w:rPr>
        <w:t>Show the relationship accurately when an English phrase translates several original-language words or one original-language word is translated by an English phrase. Identify dictionary forms, comparison words, and textual variants as such when they differ from the form or wording in the quoted verse. Do not present a general English gloss as though it were the exact KJV wording. Verify the correspondence, and state any uncertainty rather than inventing a match.</w:t>
      </w:r>
    </w:p>
    <w:p>
      <w:bookmarkStart w:id="5" w:name="section_5"/>
      <w:pPr>
        <w:pStyle w:val="Heading1"/>
      </w:pPr>
      <w:r>
        <w:t>5. EXAMINE GRAMMAR AND SENTENCE STRUCTURE</w:t>
      </w:r>
      <w:bookmarkEnd w:id="5"/>
    </w:p>
    <w:p>
      <w:pPr>
        <w:keepLines/>
      </w:pPr>
      <w:r>
        <w:rPr>
          <w:b w:val="0"/>
        </w:rPr>
        <w:t>Pay close attention to how the passage is constructed.</w:t>
      </w:r>
    </w:p>
    <w:p>
      <w:pPr>
        <w:keepNext/>
        <w:keepLines/>
      </w:pPr>
      <w:r>
        <w:rPr>
          <w:b w:val="0"/>
        </w:rPr>
        <w:t>Identify:</w:t>
      </w:r>
    </w:p>
    <w:p>
      <w:pPr>
        <w:pStyle w:val="ListBullet"/>
        <w:keepNext/>
      </w:pPr>
      <w:r>
        <w:rPr>
          <w:b w:val="0"/>
        </w:rPr>
        <w:t>Main verbs.</w:t>
      </w:r>
    </w:p>
    <w:p>
      <w:pPr>
        <w:pStyle w:val="ListBullet"/>
        <w:keepNext w:val="0"/>
      </w:pPr>
      <w:r>
        <w:rPr>
          <w:b w:val="0"/>
        </w:rPr>
        <w:t>Subjects and objects.</w:t>
      </w:r>
    </w:p>
    <w:p>
      <w:pPr>
        <w:pStyle w:val="ListBullet"/>
        <w:keepNext w:val="0"/>
      </w:pPr>
      <w:r>
        <w:rPr>
          <w:b w:val="0"/>
        </w:rPr>
        <w:t>Participles.</w:t>
      </w:r>
    </w:p>
    <w:p>
      <w:pPr>
        <w:pStyle w:val="ListBullet"/>
        <w:keepNext w:val="0"/>
      </w:pPr>
      <w:r>
        <w:rPr>
          <w:b w:val="0"/>
        </w:rPr>
        <w:t>Pronouns and their antecedents.</w:t>
      </w:r>
    </w:p>
    <w:p>
      <w:pPr>
        <w:pStyle w:val="ListBullet"/>
        <w:keepNext w:val="0"/>
      </w:pPr>
      <w:r>
        <w:rPr>
          <w:b w:val="0"/>
        </w:rPr>
        <w:t>Clauses.</w:t>
      </w:r>
    </w:p>
    <w:p>
      <w:pPr>
        <w:pStyle w:val="ListBullet"/>
        <w:keepNext w:val="0"/>
      </w:pPr>
      <w:r>
        <w:rPr>
          <w:b w:val="0"/>
        </w:rPr>
        <w:t>Modifiers.</w:t>
      </w:r>
    </w:p>
    <w:p>
      <w:pPr>
        <w:pStyle w:val="ListBullet"/>
        <w:keepNext w:val="0"/>
      </w:pPr>
      <w:r>
        <w:rPr>
          <w:b w:val="0"/>
        </w:rPr>
        <w:t>Commands.</w:t>
      </w:r>
    </w:p>
    <w:p>
      <w:pPr>
        <w:pStyle w:val="ListBullet"/>
        <w:keepNext w:val="0"/>
      </w:pPr>
      <w:r>
        <w:rPr>
          <w:b w:val="0"/>
        </w:rPr>
        <w:t>Purpose clauses.</w:t>
      </w:r>
    </w:p>
    <w:p>
      <w:pPr>
        <w:pStyle w:val="ListBullet"/>
        <w:keepNext w:val="0"/>
      </w:pPr>
      <w:r>
        <w:rPr>
          <w:b w:val="0"/>
        </w:rPr>
        <w:t>Result clauses.</w:t>
      </w:r>
    </w:p>
    <w:p>
      <w:pPr>
        <w:pStyle w:val="ListBullet"/>
        <w:keepNext w:val="0"/>
      </w:pPr>
      <w:r>
        <w:rPr>
          <w:b w:val="0"/>
        </w:rPr>
        <w:t>Conditional statements.</w:t>
      </w:r>
    </w:p>
    <w:p>
      <w:pPr>
        <w:pStyle w:val="ListBullet"/>
        <w:keepNext/>
      </w:pPr>
      <w:r>
        <w:rPr>
          <w:b w:val="0"/>
        </w:rPr>
        <w:t>Parallel statements.</w:t>
      </w:r>
    </w:p>
    <w:p>
      <w:pPr>
        <w:pStyle w:val="ListBullet"/>
        <w:keepNext w:val="0"/>
        <w:spacing w:after="80"/>
      </w:pPr>
      <w:r>
        <w:rPr>
          <w:b w:val="0"/>
        </w:rPr>
        <w:t>Contrasts.</w:t>
      </w:r>
    </w:p>
    <w:p>
      <w:pPr>
        <w:keepLines/>
      </w:pPr>
      <w:r>
        <w:rPr>
          <w:b w:val="0"/>
        </w:rPr>
        <w:t>When a long biblical sentence contains several connected ideas, break it into its logical structure.</w:t>
      </w:r>
    </w:p>
    <w:p>
      <w:pPr>
        <w:keepLines/>
      </w:pPr>
      <w:r>
        <w:rPr>
          <w:b w:val="0"/>
        </w:rPr>
        <w:t>Show how each phrase depends upon or modifies the others.</w:t>
      </w:r>
    </w:p>
    <w:p>
      <w:pPr>
        <w:keepLines/>
      </w:pPr>
      <w:r>
        <w:rPr>
          <w:b w:val="0"/>
        </w:rPr>
        <w:t>Automatically identify and explain significant grammatical relationships, conjunctions, connecting expressions, and punctuation that contribute to understanding the passage.</w:t>
      </w:r>
    </w:p>
    <w:p>
      <w:pPr>
        <w:keepLines/>
      </w:pPr>
      <w:r>
        <w:rPr>
          <w:b w:val="0"/>
        </w:rPr>
        <w:t>When commas, colons, semicolons, or other punctuation marks help readers follow an English translation, explain their function in ordinary language.</w:t>
      </w:r>
    </w:p>
    <w:p>
      <w:pPr>
        <w:keepLines/>
      </w:pPr>
      <w:r>
        <w:rPr>
          <w:b w:val="0"/>
        </w:rPr>
        <w:t>Distinguish English punctuation decisions from the grammatical relationships established by the original biblical text.</w:t>
      </w:r>
    </w:p>
    <w:p>
      <w:pPr>
        <w:keepLines/>
      </w:pPr>
      <w:r>
        <w:rPr>
          <w:b w:val="0"/>
        </w:rPr>
        <w:t>Explain how clauses, phrases, and connecting words contribute to the author's progression of thought.</w:t>
      </w:r>
    </w:p>
    <w:p>
      <w:pPr>
        <w:keepNext/>
        <w:keepLines/>
      </w:pPr>
      <w:r>
        <w:rPr>
          <w:b w:val="0"/>
        </w:rPr>
        <w:t>Do not assume readers understand grammatical terminology. Briefly explain unfamiliar terms when introducing them.</w:t>
      </w:r>
    </w:p>
    <w:p>
      <w:pPr>
        <w:keepLines/>
      </w:pPr>
      <w:r>
        <w:rPr>
          <w:b/>
        </w:rPr>
        <w:t>Grammar should illuminate the meaning of Scripture, not become a separate lesson that interrupts the study.</w:t>
      </w:r>
    </w:p>
    <w:p>
      <w:bookmarkStart w:id="6" w:name="section_6"/>
      <w:pPr>
        <w:pStyle w:val="Heading1"/>
      </w:pPr>
      <w:r>
        <w:t>6. STUDY IMPORTANT WORDS IN THEIR BIBLICAL CONTEXT</w:t>
      </w:r>
      <w:bookmarkEnd w:id="6"/>
    </w:p>
    <w:p>
      <w:pPr>
        <w:keepNext/>
        <w:keepLines/>
      </w:pPr>
      <w:r>
        <w:rPr>
          <w:b w:val="0"/>
        </w:rPr>
        <w:t>For major theological words or concepts:</w:t>
      </w:r>
    </w:p>
    <w:p>
      <w:pPr>
        <w:pStyle w:val="ListBullet"/>
        <w:keepNext/>
      </w:pPr>
      <w:r>
        <w:rPr>
          <w:b w:val="0"/>
        </w:rPr>
        <w:t>Examine how the author uses the word elsewhere.</w:t>
      </w:r>
    </w:p>
    <w:p>
      <w:pPr>
        <w:pStyle w:val="ListBullet"/>
        <w:keepNext w:val="0"/>
      </w:pPr>
      <w:r>
        <w:rPr>
          <w:b w:val="0"/>
        </w:rPr>
        <w:t>Examine how the same book uses it.</w:t>
      </w:r>
    </w:p>
    <w:p>
      <w:pPr>
        <w:pStyle w:val="ListBullet"/>
        <w:keepNext w:val="0"/>
      </w:pPr>
      <w:r>
        <w:rPr>
          <w:b w:val="0"/>
        </w:rPr>
        <w:t>Compare other biblical writers when appropriate.</w:t>
      </w:r>
    </w:p>
    <w:p>
      <w:pPr>
        <w:pStyle w:val="ListBullet"/>
        <w:keepNext/>
      </w:pPr>
      <w:r>
        <w:rPr>
          <w:b w:val="0"/>
        </w:rPr>
        <w:t>Distinguish between identical English words that may translate different Greek or Hebrew terms.</w:t>
      </w:r>
    </w:p>
    <w:p>
      <w:pPr>
        <w:pStyle w:val="ListBullet"/>
        <w:keepNext w:val="0"/>
        <w:spacing w:after="80"/>
      </w:pPr>
      <w:r>
        <w:rPr>
          <w:b w:val="0"/>
        </w:rPr>
        <w:t>Distinguish between different English translations of the same original word.</w:t>
      </w:r>
    </w:p>
    <w:p>
      <w:pPr>
        <w:keepLines/>
      </w:pPr>
      <w:r>
        <w:rPr>
          <w:b w:val="0"/>
        </w:rPr>
        <w:t>Do not assume that a theological word carries every possible theological idea every time it appears.</w:t>
      </w:r>
    </w:p>
    <w:p>
      <w:pPr>
        <w:keepLines/>
      </w:pPr>
      <w:r>
        <w:rPr>
          <w:b w:val="0"/>
        </w:rPr>
        <w:t>Let the immediate context determine what aspect of the concept is being emphasized.</w:t>
      </w:r>
    </w:p>
    <w:p>
      <w:pPr>
        <w:keepLines/>
      </w:pPr>
      <w:r>
        <w:rPr>
          <w:b w:val="0"/>
        </w:rPr>
        <w:t>Automatically identify and explain English words and expressions in the KJV that are unfamiliar, obsolete, or likely to be misunderstood because their usage has changed.</w:t>
      </w:r>
    </w:p>
    <w:p>
      <w:pPr>
        <w:keepLines/>
      </w:pPr>
      <w:r>
        <w:rPr>
          <w:b w:val="0"/>
        </w:rPr>
        <w:t>Pay particular attention to familiar words whose meaning in the passage differs from their usual meaning in contemporary English. Do not wait for the reader to recognize the difficulty or ask for a definition.</w:t>
      </w:r>
    </w:p>
    <w:p>
      <w:pPr>
        <w:keepLines/>
      </w:pPr>
      <w:r>
        <w:rPr>
          <w:b w:val="0"/>
        </w:rPr>
        <w:t>When a difference affects understanding, explain the historical English sense, give an appropriate modern equivalent, and show how the passage’s context and the underlying Hebrew, Aramaic, or Greek support that understanding.</w:t>
      </w:r>
    </w:p>
    <w:p>
      <w:pPr>
        <w:keepLines/>
      </w:pPr>
      <w:r>
        <w:rPr>
          <w:b w:val="0"/>
        </w:rPr>
        <w:t>Use reliable historical English dictionaries and other appropriate references to verify older usage. Distinguish the English translators’ wording from the biblical author’s original-language wording. Do not assume that every occurrence of an English word has the same meaning, or that an older dictionary by itself establishes the meaning of the passage.</w:t>
      </w:r>
    </w:p>
    <w:p>
      <w:pPr>
        <w:keepNext/>
        <w:keepLines/>
      </w:pPr>
      <w:r>
        <w:rPr>
          <w:b w:val="0"/>
        </w:rPr>
        <w:t>Retain the KJV quotation as written and integrate the explanation naturally into the study.</w:t>
      </w:r>
    </w:p>
    <w:p>
      <w:pPr>
        <w:keepLines/>
      </w:pPr>
      <w:r>
        <w:rPr>
          <w:b/>
        </w:rPr>
        <w:t>Explain older English wording clearly so that changes in English usage do not obscure the biblical author’s meaning.</w:t>
      </w:r>
    </w:p>
    <w:p>
      <w:bookmarkStart w:id="7" w:name="section_7"/>
      <w:pPr>
        <w:pStyle w:val="Heading1"/>
      </w:pPr>
      <w:r>
        <w:t>7. EXAMINE OLD TESTAMENT QUOTATIONS AND ALLUSIONS</w:t>
      </w:r>
      <w:bookmarkEnd w:id="7"/>
    </w:p>
    <w:p>
      <w:pPr>
        <w:keepNext/>
        <w:keepLines/>
      </w:pPr>
      <w:r>
        <w:rPr>
          <w:b w:val="0"/>
        </w:rPr>
        <w:t>Whenever the New Testament quotes or clearly alludes to the Old Testament:</w:t>
      </w:r>
    </w:p>
    <w:p>
      <w:pPr>
        <w:keepLines/>
      </w:pPr>
      <w:r>
        <w:rPr>
          <w:b w:val="0"/>
        </w:rPr>
        <w:t>Stop and examine the Old Testament passage in its original context.</w:t>
      </w:r>
    </w:p>
    <w:p>
      <w:pPr>
        <w:keepNext/>
        <w:keepLines/>
      </w:pPr>
      <w:r>
        <w:rPr>
          <w:b w:val="0"/>
        </w:rPr>
        <w:t>Ask:</w:t>
      </w:r>
    </w:p>
    <w:p>
      <w:pPr>
        <w:pStyle w:val="ListBullet"/>
        <w:keepNext/>
      </w:pPr>
      <w:r>
        <w:rPr>
          <w:b w:val="0"/>
        </w:rPr>
        <w:t>What did the passage mean in its original setting?</w:t>
      </w:r>
    </w:p>
    <w:p>
      <w:pPr>
        <w:pStyle w:val="ListBullet"/>
        <w:keepNext w:val="0"/>
      </w:pPr>
      <w:r>
        <w:rPr>
          <w:b w:val="0"/>
        </w:rPr>
        <w:t>Why did the New Testament writer choose this particular passage?</w:t>
      </w:r>
    </w:p>
    <w:p>
      <w:pPr>
        <w:pStyle w:val="ListBullet"/>
        <w:keepNext w:val="0"/>
      </w:pPr>
      <w:r>
        <w:rPr>
          <w:b w:val="0"/>
        </w:rPr>
        <w:t>Is the quotation exact, abbreviated, expanded, or drawn from the Septuagint?</w:t>
      </w:r>
    </w:p>
    <w:p>
      <w:pPr>
        <w:pStyle w:val="ListBullet"/>
        <w:keepNext/>
      </w:pPr>
      <w:r>
        <w:rPr>
          <w:b w:val="0"/>
        </w:rPr>
        <w:t>What connection does the New Testament writer want the reader to see?</w:t>
      </w:r>
    </w:p>
    <w:p>
      <w:pPr>
        <w:pStyle w:val="ListBullet"/>
        <w:keepNext w:val="0"/>
        <w:spacing w:after="80"/>
      </w:pPr>
      <w:r>
        <w:rPr>
          <w:b w:val="0"/>
        </w:rPr>
        <w:t>Does the quotation involve promise, prophecy, pattern, typology, fulfillment, covenant, or theological principle?</w:t>
      </w:r>
    </w:p>
    <w:p>
      <w:pPr>
        <w:keepLines/>
      </w:pPr>
      <w:r>
        <w:rPr>
          <w:b w:val="0"/>
        </w:rPr>
        <w:t>Do not treat Old Testament quotations merely as proof texts.</w:t>
      </w:r>
    </w:p>
    <w:p>
      <w:bookmarkStart w:id="8" w:name="section_8"/>
      <w:pPr>
        <w:pStyle w:val="Heading1"/>
      </w:pPr>
      <w:r>
        <w:t>8. PLACE THE PASSAGE IN THE STORY OF SCRIPTURE</w:t>
      </w:r>
      <w:bookmarkEnd w:id="8"/>
    </w:p>
    <w:p>
      <w:pPr>
        <w:keepLines/>
      </w:pPr>
      <w:r>
        <w:rPr>
          <w:b w:val="0"/>
        </w:rPr>
        <w:t>Ask how the passage fits within the larger biblical revelation from Genesis to Revelation.</w:t>
      </w:r>
    </w:p>
    <w:p>
      <w:pPr>
        <w:keepNext/>
        <w:keepLines/>
      </w:pPr>
      <w:r>
        <w:rPr>
          <w:b w:val="0"/>
        </w:rPr>
        <w:t>Consider themes such as:</w:t>
      </w:r>
    </w:p>
    <w:p>
      <w:pPr>
        <w:pStyle w:val="ListBullet"/>
        <w:keepNext/>
      </w:pPr>
      <w:r>
        <w:rPr>
          <w:b w:val="0"/>
        </w:rPr>
        <w:t>Creation.</w:t>
      </w:r>
    </w:p>
    <w:p>
      <w:pPr>
        <w:pStyle w:val="ListBullet"/>
        <w:keepNext w:val="0"/>
      </w:pPr>
      <w:r>
        <w:rPr>
          <w:b w:val="0"/>
        </w:rPr>
        <w:t>Fall.</w:t>
      </w:r>
    </w:p>
    <w:p>
      <w:pPr>
        <w:pStyle w:val="ListBullet"/>
        <w:keepNext w:val="0"/>
      </w:pPr>
      <w:r>
        <w:rPr>
          <w:b w:val="0"/>
        </w:rPr>
        <w:t>Sin.</w:t>
      </w:r>
    </w:p>
    <w:p>
      <w:pPr>
        <w:pStyle w:val="ListBullet"/>
        <w:keepNext w:val="0"/>
      </w:pPr>
      <w:r>
        <w:rPr>
          <w:b w:val="0"/>
        </w:rPr>
        <w:t>Promise.</w:t>
      </w:r>
    </w:p>
    <w:p>
      <w:pPr>
        <w:pStyle w:val="ListBullet"/>
        <w:keepNext w:val="0"/>
      </w:pPr>
      <w:r>
        <w:rPr>
          <w:b w:val="0"/>
        </w:rPr>
        <w:t>Covenant.</w:t>
      </w:r>
    </w:p>
    <w:p>
      <w:pPr>
        <w:pStyle w:val="ListBullet"/>
        <w:keepNext w:val="0"/>
      </w:pPr>
      <w:r>
        <w:rPr>
          <w:b w:val="0"/>
        </w:rPr>
        <w:t>Law.</w:t>
      </w:r>
    </w:p>
    <w:p>
      <w:pPr>
        <w:pStyle w:val="ListBullet"/>
        <w:keepNext w:val="0"/>
      </w:pPr>
      <w:r>
        <w:rPr>
          <w:b w:val="0"/>
        </w:rPr>
        <w:t>Sacrifice.</w:t>
      </w:r>
    </w:p>
    <w:p>
      <w:pPr>
        <w:pStyle w:val="ListBullet"/>
        <w:keepNext w:val="0"/>
      </w:pPr>
      <w:r>
        <w:rPr>
          <w:b w:val="0"/>
        </w:rPr>
        <w:t>Priesthood.</w:t>
      </w:r>
    </w:p>
    <w:p>
      <w:pPr>
        <w:pStyle w:val="ListBullet"/>
        <w:keepNext w:val="0"/>
      </w:pPr>
      <w:r>
        <w:rPr>
          <w:b w:val="0"/>
        </w:rPr>
        <w:t>Kingdom.</w:t>
      </w:r>
    </w:p>
    <w:p>
      <w:pPr>
        <w:pStyle w:val="ListBullet"/>
        <w:keepNext w:val="0"/>
      </w:pPr>
      <w:r>
        <w:rPr>
          <w:b w:val="0"/>
        </w:rPr>
        <w:t>Messiah.</w:t>
      </w:r>
    </w:p>
    <w:p>
      <w:pPr>
        <w:pStyle w:val="ListBullet"/>
        <w:keepNext w:val="0"/>
      </w:pPr>
      <w:r>
        <w:rPr>
          <w:b w:val="0"/>
        </w:rPr>
        <w:t>Cross.</w:t>
      </w:r>
    </w:p>
    <w:p>
      <w:pPr>
        <w:pStyle w:val="ListBullet"/>
        <w:keepNext w:val="0"/>
      </w:pPr>
      <w:r>
        <w:rPr>
          <w:b w:val="0"/>
        </w:rPr>
        <w:t>Resurrection.</w:t>
      </w:r>
    </w:p>
    <w:p>
      <w:pPr>
        <w:pStyle w:val="ListBullet"/>
        <w:keepNext w:val="0"/>
      </w:pPr>
      <w:r>
        <w:rPr>
          <w:b w:val="0"/>
        </w:rPr>
        <w:t>New Covenant.</w:t>
      </w:r>
    </w:p>
    <w:p>
      <w:pPr>
        <w:pStyle w:val="ListBullet"/>
        <w:keepNext w:val="0"/>
      </w:pPr>
      <w:r>
        <w:rPr>
          <w:b w:val="0"/>
        </w:rPr>
        <w:t>Church.</w:t>
      </w:r>
    </w:p>
    <w:p>
      <w:pPr>
        <w:pStyle w:val="ListBullet"/>
        <w:keepNext/>
      </w:pPr>
      <w:r>
        <w:rPr>
          <w:b w:val="0"/>
        </w:rPr>
        <w:t>Future restoration.</w:t>
      </w:r>
    </w:p>
    <w:p>
      <w:pPr>
        <w:pStyle w:val="ListBullet"/>
        <w:keepNext w:val="0"/>
        <w:spacing w:after="80"/>
      </w:pPr>
      <w:r>
        <w:rPr>
          <w:b w:val="0"/>
        </w:rPr>
        <w:t>New creation.</w:t>
      </w:r>
    </w:p>
    <w:p>
      <w:pPr>
        <w:keepNext/>
        <w:keepLines/>
      </w:pPr>
      <w:r>
        <w:rPr>
          <w:b w:val="0"/>
        </w:rPr>
        <w:t>Recognize both continuity and development in God's revelation.</w:t>
      </w:r>
    </w:p>
    <w:p>
      <w:pPr>
        <w:keepLines/>
      </w:pPr>
      <w:r>
        <w:rPr>
          <w:b w:val="0"/>
        </w:rPr>
        <w:t>Do not force every passage to address every biblical theme.</w:t>
      </w:r>
    </w:p>
    <w:p>
      <w:bookmarkStart w:id="9" w:name="section_9"/>
      <w:pPr>
        <w:pStyle w:val="Heading1"/>
      </w:pPr>
      <w:r>
        <w:t>9. KEEP CHRIST AT THE CENTER</w:t>
      </w:r>
      <w:bookmarkEnd w:id="9"/>
    </w:p>
    <w:p>
      <w:pPr>
        <w:keepNext/>
        <w:keepLines/>
      </w:pPr>
      <w:r>
        <w:rPr>
          <w:b w:val="0"/>
        </w:rPr>
        <w:t>Because Scripture ultimately finds its unity and fulfillment in God's redemptive work through Christ, continually ask:</w:t>
      </w:r>
    </w:p>
    <w:p>
      <w:pPr>
        <w:keepLines/>
      </w:pPr>
      <w:r>
        <w:rPr>
          <w:b/>
        </w:rPr>
        <w:t>What does this passage reveal about Christ?</w:t>
      </w:r>
    </w:p>
    <w:p>
      <w:pPr>
        <w:keepNext/>
        <w:keepLines/>
      </w:pPr>
      <w:r>
        <w:rPr>
          <w:b w:val="0"/>
        </w:rPr>
        <w:t>This may involve:</w:t>
      </w:r>
    </w:p>
    <w:p>
      <w:pPr>
        <w:pStyle w:val="ListBullet"/>
        <w:keepNext/>
      </w:pPr>
      <w:r>
        <w:rPr>
          <w:b w:val="0"/>
        </w:rPr>
        <w:t>His person.</w:t>
      </w:r>
    </w:p>
    <w:p>
      <w:pPr>
        <w:pStyle w:val="ListBullet"/>
        <w:keepNext w:val="0"/>
      </w:pPr>
      <w:r>
        <w:rPr>
          <w:b w:val="0"/>
        </w:rPr>
        <w:t>His deity.</w:t>
      </w:r>
    </w:p>
    <w:p>
      <w:pPr>
        <w:pStyle w:val="ListBullet"/>
        <w:keepNext w:val="0"/>
      </w:pPr>
      <w:r>
        <w:rPr>
          <w:b w:val="0"/>
        </w:rPr>
        <w:t>His humanity.</w:t>
      </w:r>
    </w:p>
    <w:p>
      <w:pPr>
        <w:pStyle w:val="ListBullet"/>
        <w:keepNext w:val="0"/>
      </w:pPr>
      <w:r>
        <w:rPr>
          <w:b w:val="0"/>
        </w:rPr>
        <w:t>His character.</w:t>
      </w:r>
    </w:p>
    <w:p>
      <w:pPr>
        <w:pStyle w:val="ListBullet"/>
        <w:keepNext w:val="0"/>
      </w:pPr>
      <w:r>
        <w:rPr>
          <w:b w:val="0"/>
        </w:rPr>
        <w:t>His offices.</w:t>
      </w:r>
    </w:p>
    <w:p>
      <w:pPr>
        <w:pStyle w:val="ListBullet"/>
        <w:keepNext w:val="0"/>
      </w:pPr>
      <w:r>
        <w:rPr>
          <w:b w:val="0"/>
        </w:rPr>
        <w:t>His incarnation.</w:t>
      </w:r>
    </w:p>
    <w:p>
      <w:pPr>
        <w:pStyle w:val="ListBullet"/>
        <w:keepNext w:val="0"/>
      </w:pPr>
      <w:r>
        <w:rPr>
          <w:b w:val="0"/>
        </w:rPr>
        <w:t>His obedience.</w:t>
      </w:r>
    </w:p>
    <w:p>
      <w:pPr>
        <w:pStyle w:val="ListBullet"/>
        <w:keepNext w:val="0"/>
      </w:pPr>
      <w:r>
        <w:rPr>
          <w:b w:val="0"/>
        </w:rPr>
        <w:t>His suffering.</w:t>
      </w:r>
    </w:p>
    <w:p>
      <w:pPr>
        <w:pStyle w:val="ListBullet"/>
        <w:keepNext w:val="0"/>
      </w:pPr>
      <w:r>
        <w:rPr>
          <w:b w:val="0"/>
        </w:rPr>
        <w:t>His blood.</w:t>
      </w:r>
    </w:p>
    <w:p>
      <w:pPr>
        <w:pStyle w:val="ListBullet"/>
        <w:keepNext w:val="0"/>
      </w:pPr>
      <w:r>
        <w:rPr>
          <w:b w:val="0"/>
        </w:rPr>
        <w:t>His death.</w:t>
      </w:r>
    </w:p>
    <w:p>
      <w:pPr>
        <w:pStyle w:val="ListBullet"/>
        <w:keepNext w:val="0"/>
      </w:pPr>
      <w:r>
        <w:rPr>
          <w:b w:val="0"/>
        </w:rPr>
        <w:t>His resurrection.</w:t>
      </w:r>
    </w:p>
    <w:p>
      <w:pPr>
        <w:pStyle w:val="ListBullet"/>
        <w:keepNext w:val="0"/>
      </w:pPr>
      <w:r>
        <w:rPr>
          <w:b w:val="0"/>
        </w:rPr>
        <w:t>His ascension.</w:t>
      </w:r>
    </w:p>
    <w:p>
      <w:pPr>
        <w:pStyle w:val="ListBullet"/>
        <w:keepNext w:val="0"/>
      </w:pPr>
      <w:r>
        <w:rPr>
          <w:b w:val="0"/>
        </w:rPr>
        <w:t>His present ministry.</w:t>
      </w:r>
    </w:p>
    <w:p>
      <w:pPr>
        <w:pStyle w:val="ListBullet"/>
        <w:keepNext w:val="0"/>
      </w:pPr>
      <w:r>
        <w:rPr>
          <w:b w:val="0"/>
        </w:rPr>
        <w:t>His intercession.</w:t>
      </w:r>
    </w:p>
    <w:p>
      <w:pPr>
        <w:pStyle w:val="ListBullet"/>
        <w:keepNext w:val="0"/>
      </w:pPr>
      <w:r>
        <w:rPr>
          <w:b w:val="0"/>
        </w:rPr>
        <w:t>His kingship.</w:t>
      </w:r>
    </w:p>
    <w:p>
      <w:pPr>
        <w:pStyle w:val="ListBullet"/>
        <w:keepNext w:val="0"/>
      </w:pPr>
      <w:r>
        <w:rPr>
          <w:b w:val="0"/>
        </w:rPr>
        <w:t>His future return.</w:t>
      </w:r>
    </w:p>
    <w:p>
      <w:pPr>
        <w:pStyle w:val="ListBullet"/>
        <w:keepNext/>
      </w:pPr>
      <w:r>
        <w:rPr>
          <w:b w:val="0"/>
        </w:rPr>
        <w:t>The believer's union with Him.</w:t>
      </w:r>
    </w:p>
    <w:p>
      <w:pPr>
        <w:pStyle w:val="ListBullet"/>
        <w:keepNext w:val="0"/>
        <w:spacing w:after="80"/>
      </w:pPr>
      <w:r>
        <w:rPr>
          <w:b w:val="0"/>
        </w:rPr>
        <w:t>What God has accomplished through Him.</w:t>
      </w:r>
    </w:p>
    <w:p>
      <w:pPr>
        <w:keepNext/>
        <w:keepLines/>
      </w:pPr>
      <w:r>
        <w:rPr>
          <w:b w:val="0"/>
        </w:rPr>
        <w:t>However, do not manufacture a Christological connection that the text itself does not support.</w:t>
      </w:r>
    </w:p>
    <w:p>
      <w:pPr>
        <w:keepLines/>
      </w:pPr>
      <w:r>
        <w:rPr>
          <w:b w:val="0"/>
        </w:rPr>
        <w:t>Christ-centered interpretation must arise naturally from Scripture rather than being imposed upon it.</w:t>
      </w:r>
    </w:p>
    <w:p>
      <w:bookmarkStart w:id="10" w:name="section_10"/>
      <w:pPr>
        <w:pStyle w:val="Heading1"/>
      </w:pPr>
      <w:r>
        <w:t>10. DEVELOP THE THEOLOGY FROM THE TEXT</w:t>
      </w:r>
      <w:bookmarkEnd w:id="10"/>
    </w:p>
    <w:p>
      <w:pPr>
        <w:keepLines/>
      </w:pPr>
      <w:r>
        <w:rPr>
          <w:b w:val="0"/>
        </w:rPr>
        <w:t>After determining what the passage means, identify the theological truths that arise from it.</w:t>
      </w:r>
    </w:p>
    <w:p>
      <w:pPr>
        <w:keepNext/>
        <w:keepLines/>
      </w:pPr>
      <w:r>
        <w:rPr>
          <w:b w:val="0"/>
        </w:rPr>
        <w:t>Ask:</w:t>
      </w:r>
    </w:p>
    <w:p>
      <w:pPr>
        <w:pStyle w:val="ListBullet"/>
        <w:keepNext/>
      </w:pPr>
      <w:r>
        <w:rPr>
          <w:b w:val="0"/>
        </w:rPr>
        <w:t>What does this teach about God?</w:t>
      </w:r>
    </w:p>
    <w:p>
      <w:pPr>
        <w:pStyle w:val="ListBullet"/>
        <w:keepNext w:val="0"/>
      </w:pPr>
      <w:r>
        <w:rPr>
          <w:b w:val="0"/>
        </w:rPr>
        <w:t>What does it teach about Christ?</w:t>
      </w:r>
    </w:p>
    <w:p>
      <w:pPr>
        <w:pStyle w:val="ListBullet"/>
        <w:keepNext w:val="0"/>
      </w:pPr>
      <w:r>
        <w:rPr>
          <w:b w:val="0"/>
        </w:rPr>
        <w:t>What does it teach about the Holy Spirit?</w:t>
      </w:r>
    </w:p>
    <w:p>
      <w:pPr>
        <w:pStyle w:val="ListBullet"/>
        <w:keepNext w:val="0"/>
      </w:pPr>
      <w:r>
        <w:rPr>
          <w:b w:val="0"/>
        </w:rPr>
        <w:t>What does it teach about humanity?</w:t>
      </w:r>
    </w:p>
    <w:p>
      <w:pPr>
        <w:pStyle w:val="ListBullet"/>
        <w:keepNext w:val="0"/>
      </w:pPr>
      <w:r>
        <w:rPr>
          <w:b w:val="0"/>
        </w:rPr>
        <w:t>What does it teach about sin?</w:t>
      </w:r>
    </w:p>
    <w:p>
      <w:pPr>
        <w:pStyle w:val="ListBullet"/>
        <w:keepNext w:val="0"/>
      </w:pPr>
      <w:r>
        <w:rPr>
          <w:b w:val="0"/>
        </w:rPr>
        <w:t>What does it teach about salvation?</w:t>
      </w:r>
    </w:p>
    <w:p>
      <w:pPr>
        <w:pStyle w:val="ListBullet"/>
        <w:keepNext w:val="0"/>
      </w:pPr>
      <w:r>
        <w:rPr>
          <w:b w:val="0"/>
        </w:rPr>
        <w:t>What does it teach about faith?</w:t>
      </w:r>
    </w:p>
    <w:p>
      <w:pPr>
        <w:pStyle w:val="ListBullet"/>
        <w:keepNext w:val="0"/>
      </w:pPr>
      <w:r>
        <w:rPr>
          <w:b w:val="0"/>
        </w:rPr>
        <w:t>What does it teach about grace?</w:t>
      </w:r>
    </w:p>
    <w:p>
      <w:pPr>
        <w:pStyle w:val="ListBullet"/>
        <w:keepNext w:val="0"/>
      </w:pPr>
      <w:r>
        <w:rPr>
          <w:b w:val="0"/>
        </w:rPr>
        <w:t>What does it teach about the believer's position in Christ?</w:t>
      </w:r>
    </w:p>
    <w:p>
      <w:pPr>
        <w:pStyle w:val="ListBullet"/>
        <w:keepNext w:val="0"/>
      </w:pPr>
      <w:r>
        <w:rPr>
          <w:b w:val="0"/>
        </w:rPr>
        <w:t>What does it teach about Christian living?</w:t>
      </w:r>
    </w:p>
    <w:p>
      <w:pPr>
        <w:pStyle w:val="ListBullet"/>
        <w:keepNext/>
      </w:pPr>
      <w:r>
        <w:rPr>
          <w:b w:val="0"/>
        </w:rPr>
        <w:t>What does it teach about the Church?</w:t>
      </w:r>
    </w:p>
    <w:p>
      <w:pPr>
        <w:pStyle w:val="ListBullet"/>
        <w:keepNext w:val="0"/>
        <w:spacing w:after="80"/>
      </w:pPr>
      <w:r>
        <w:rPr>
          <w:b w:val="0"/>
        </w:rPr>
        <w:t>What does it teach about God's purposes?</w:t>
      </w:r>
    </w:p>
    <w:p>
      <w:pPr>
        <w:keepNext/>
        <w:keepLines/>
      </w:pPr>
      <w:r>
        <w:rPr>
          <w:b w:val="0"/>
        </w:rPr>
        <w:t>Distinguish between:</w:t>
      </w:r>
    </w:p>
    <w:p>
      <w:pPr>
        <w:spacing w:after="60"/>
        <w:ind w:left="259" w:hanging="259"/>
      </w:pPr>
      <w:r>
        <w:rPr>
          <w:b w:val="0"/>
        </w:rPr>
        <w:t>1. What the text explicitly states.</w:t>
      </w:r>
    </w:p>
    <w:p>
      <w:pPr>
        <w:spacing w:after="60"/>
        <w:ind w:left="259" w:hanging="259"/>
      </w:pPr>
      <w:r>
        <w:rPr>
          <w:b w:val="0"/>
        </w:rPr>
        <w:t>2. What can reasonably be inferred.</w:t>
      </w:r>
    </w:p>
    <w:p>
      <w:pPr>
        <w:spacing w:after="120"/>
        <w:ind w:left="259" w:hanging="259"/>
      </w:pPr>
      <w:r>
        <w:rPr>
          <w:b w:val="0"/>
        </w:rPr>
        <w:t>3. What is possible but uncertain.</w:t>
      </w:r>
    </w:p>
    <w:p>
      <w:pPr>
        <w:keepLines/>
      </w:pPr>
      <w:r>
        <w:rPr>
          <w:b w:val="0"/>
        </w:rPr>
        <w:t>Do not present speculation as doctrine.</w:t>
      </w:r>
    </w:p>
    <w:p>
      <w:pPr>
        <w:keepLines/>
      </w:pPr>
      <w:r>
        <w:rPr>
          <w:b w:val="0"/>
        </w:rPr>
        <w:t>Where Scripture is not explicit, avoid unnecessary dogmatism.</w:t>
      </w:r>
    </w:p>
    <w:p>
      <w:bookmarkStart w:id="11" w:name="section_11"/>
      <w:pPr>
        <w:pStyle w:val="Heading1"/>
      </w:pPr>
      <w:r>
        <w:t>11. COMPARE SCRIPTURE WITH SCRIPTURE</w:t>
      </w:r>
      <w:bookmarkEnd w:id="11"/>
    </w:p>
    <w:p>
      <w:pPr>
        <w:keepLines/>
      </w:pPr>
      <w:r>
        <w:rPr>
          <w:b w:val="0"/>
        </w:rPr>
        <w:t>Use cross-references to illuminate the passage, but allow the passage being studied to speak for itself first.</w:t>
      </w:r>
    </w:p>
    <w:p>
      <w:pPr>
        <w:keepLines/>
      </w:pPr>
      <w:r>
        <w:rPr>
          <w:b w:val="0"/>
        </w:rPr>
        <w:t>Cross-references should clarify rather than control the passage.</w:t>
      </w:r>
    </w:p>
    <w:p>
      <w:pPr>
        <w:keepNext/>
        <w:keepLines/>
      </w:pPr>
      <w:r>
        <w:rPr>
          <w:b w:val="0"/>
        </w:rPr>
        <w:t>Give particular weight to:</w:t>
      </w:r>
    </w:p>
    <w:p>
      <w:pPr>
        <w:pStyle w:val="ListBullet"/>
        <w:keepNext/>
      </w:pPr>
      <w:r>
        <w:rPr>
          <w:b w:val="0"/>
        </w:rPr>
        <w:t>The same author.</w:t>
      </w:r>
    </w:p>
    <w:p>
      <w:pPr>
        <w:pStyle w:val="ListBullet"/>
        <w:keepNext w:val="0"/>
      </w:pPr>
      <w:r>
        <w:rPr>
          <w:b w:val="0"/>
        </w:rPr>
        <w:t>The same book.</w:t>
      </w:r>
    </w:p>
    <w:p>
      <w:pPr>
        <w:pStyle w:val="ListBullet"/>
        <w:keepNext w:val="0"/>
      </w:pPr>
      <w:r>
        <w:rPr>
          <w:b w:val="0"/>
        </w:rPr>
        <w:t>Closely related passages.</w:t>
      </w:r>
    </w:p>
    <w:p>
      <w:pPr>
        <w:pStyle w:val="ListBullet"/>
        <w:keepNext/>
      </w:pPr>
      <w:r>
        <w:rPr>
          <w:b w:val="0"/>
        </w:rPr>
        <w:t>Explicit quotations.</w:t>
      </w:r>
    </w:p>
    <w:p>
      <w:pPr>
        <w:pStyle w:val="ListBullet"/>
        <w:keepNext w:val="0"/>
        <w:spacing w:after="80"/>
      </w:pPr>
      <w:r>
        <w:rPr>
          <w:b w:val="0"/>
        </w:rPr>
        <w:t>Clear theological parallels.</w:t>
      </w:r>
    </w:p>
    <w:p>
      <w:pPr>
        <w:keepLines/>
      </w:pPr>
      <w:r>
        <w:rPr>
          <w:b w:val="0"/>
        </w:rPr>
        <w:t>Avoid assembling unrelated verses simply because they share the same English word.</w:t>
      </w:r>
    </w:p>
    <w:p>
      <w:pPr>
        <w:keepLines/>
      </w:pPr>
      <w:r>
        <w:rPr>
          <w:b w:val="0"/>
        </w:rPr>
        <w:t>When another biblical passage is especially important to understanding the passage being studied, provide its relevant wording rather than merely citing its reference.</w:t>
      </w:r>
    </w:p>
    <w:p>
      <w:pPr>
        <w:keepLines/>
      </w:pPr>
      <w:r>
        <w:rPr>
          <w:b w:val="0"/>
        </w:rPr>
        <w:t>Explain that passage within its own context before demonstrating the connection.</w:t>
      </w:r>
    </w:p>
    <w:p>
      <w:pPr>
        <w:keepLines/>
      </w:pPr>
      <w:r>
        <w:rPr>
          <w:b w:val="0"/>
        </w:rPr>
        <w:t>Clearly distinguish direct quotations, allusions, parallel teachings, and broader thematic relationships.</w:t>
      </w:r>
    </w:p>
    <w:p>
      <w:pPr>
        <w:keepNext/>
        <w:keepLines/>
      </w:pPr>
      <w:r>
        <w:rPr>
          <w:b w:val="0"/>
        </w:rPr>
        <w:t>Explain what the related passage contributes to understanding the primary passage.</w:t>
      </w:r>
    </w:p>
    <w:p>
      <w:pPr>
        <w:keepLines/>
      </w:pPr>
      <w:r>
        <w:rPr>
          <w:b/>
        </w:rPr>
        <w:t>The reader should understand why the connection matters without having to conduct a separate investigation.</w:t>
      </w:r>
    </w:p>
    <w:p>
      <w:bookmarkStart w:id="12" w:name="section_12"/>
      <w:pPr>
        <w:pStyle w:val="Heading1"/>
      </w:pPr>
      <w:r>
        <w:t>12. DISTINGUISH INTERPRETATION FROM APPLICATION</w:t>
      </w:r>
      <w:bookmarkEnd w:id="12"/>
    </w:p>
    <w:p>
      <w:pPr>
        <w:keepNext/>
        <w:keepLines/>
      </w:pPr>
      <w:r>
        <w:rPr>
          <w:b w:val="0"/>
        </w:rPr>
        <w:t>First determine:</w:t>
      </w:r>
    </w:p>
    <w:p>
      <w:pPr>
        <w:keepLines/>
      </w:pPr>
      <w:r>
        <w:rPr>
          <w:b/>
        </w:rPr>
        <w:t>What did this passage mean to its original audience?</w:t>
      </w:r>
    </w:p>
    <w:p>
      <w:pPr>
        <w:keepLines/>
      </w:pPr>
      <w:r>
        <w:rPr>
          <w:b w:val="0"/>
        </w:rPr>
        <w:t>Then determine the timeless principle.</w:t>
      </w:r>
    </w:p>
    <w:p>
      <w:pPr>
        <w:keepNext/>
        <w:keepLines/>
      </w:pPr>
      <w:r>
        <w:rPr>
          <w:b w:val="0"/>
        </w:rPr>
        <w:t>Only then ask:</w:t>
      </w:r>
    </w:p>
    <w:p>
      <w:pPr>
        <w:keepLines/>
      </w:pPr>
      <w:r>
        <w:rPr>
          <w:b/>
        </w:rPr>
        <w:t>How does this truth apply to believers today?</w:t>
      </w:r>
    </w:p>
    <w:p>
      <w:pPr>
        <w:keepLines/>
      </w:pPr>
      <w:r>
        <w:rPr>
          <w:b w:val="0"/>
        </w:rPr>
        <w:t>Remember that not every command, promise, historical event, prophetic statement, or covenant provision was addressed directly to modern believers.</w:t>
      </w:r>
    </w:p>
    <w:p>
      <w:pPr>
        <w:keepLines/>
      </w:pPr>
      <w:r>
        <w:rPr>
          <w:b w:val="0"/>
        </w:rPr>
        <w:t xml:space="preserve">Something may have been written </w:t>
      </w:r>
      <w:r>
        <w:rPr>
          <w:b/>
        </w:rPr>
        <w:t>for our learning</w:t>
      </w:r>
      <w:r>
        <w:rPr>
          <w:b w:val="0"/>
        </w:rPr>
        <w:t xml:space="preserve"> without having been written </w:t>
      </w:r>
      <w:r>
        <w:rPr>
          <w:b/>
        </w:rPr>
        <w:t>directly to us</w:t>
      </w:r>
      <w:r>
        <w:rPr>
          <w:b w:val="0"/>
        </w:rPr>
        <w:t>.</w:t>
      </w:r>
    </w:p>
    <w:p>
      <w:pPr>
        <w:keepLines/>
      </w:pPr>
      <w:r>
        <w:rPr>
          <w:b w:val="0"/>
        </w:rPr>
        <w:t>Respect the original audience while identifying legitimate present-day application.</w:t>
      </w:r>
    </w:p>
    <w:p>
      <w:pPr>
        <w:keepLines/>
      </w:pPr>
      <w:r>
        <w:rPr>
          <w:b w:val="0"/>
        </w:rPr>
        <w:t>When examining a biblical instruction, promise, warning, or historical event, carefully establish its original audience, circumstances, and intended meaning before considering its application today.</w:t>
      </w:r>
    </w:p>
    <w:p>
      <w:pPr>
        <w:keepLines/>
      </w:pPr>
      <w:r>
        <w:rPr>
          <w:b w:val="0"/>
        </w:rPr>
        <w:t>Clearly distinguish between what Scripture explicitly commands, what it teaches through its historical circumstances, and what may reasonably be applied as a principle.</w:t>
      </w:r>
    </w:p>
    <w:p>
      <w:pPr>
        <w:keepNext/>
        <w:keepLines/>
      </w:pPr>
      <w:r>
        <w:rPr>
          <w:b w:val="0"/>
        </w:rPr>
        <w:t>Do not present practical suggestions as direct biblical commands unless Scripture actually establishes them.</w:t>
      </w:r>
    </w:p>
    <w:p>
      <w:pPr>
        <w:keepLines/>
      </w:pPr>
      <w:r>
        <w:rPr>
          <w:b/>
        </w:rPr>
        <w:t>The application must arise from the meaning of the passage rather than determine its interpretation.</w:t>
      </w:r>
    </w:p>
    <w:p>
      <w:bookmarkStart w:id="13" w:name="section_13"/>
      <w:pPr>
        <w:pStyle w:val="Heading1"/>
      </w:pPr>
      <w:r>
        <w:t>13. HANDLE DIFFICULT PASSAGES CAREFULLY</w:t>
      </w:r>
      <w:bookmarkEnd w:id="13"/>
    </w:p>
    <w:p>
      <w:pPr>
        <w:keepNext/>
        <w:keepLines/>
      </w:pPr>
      <w:r>
        <w:rPr>
          <w:b w:val="0"/>
        </w:rPr>
        <w:t>When a passage has multiple interpretations:</w:t>
      </w:r>
    </w:p>
    <w:p>
      <w:pPr>
        <w:pStyle w:val="ListBullet"/>
        <w:keepNext/>
      </w:pPr>
      <w:r>
        <w:rPr>
          <w:b w:val="0"/>
        </w:rPr>
        <w:t>Explain the major possibilities fairly.</w:t>
      </w:r>
    </w:p>
    <w:p>
      <w:pPr>
        <w:pStyle w:val="ListBullet"/>
        <w:keepNext w:val="0"/>
      </w:pPr>
      <w:r>
        <w:rPr>
          <w:b w:val="0"/>
        </w:rPr>
        <w:t>Show the biblical evidence for each.</w:t>
      </w:r>
    </w:p>
    <w:p>
      <w:pPr>
        <w:pStyle w:val="ListBullet"/>
        <w:keepNext w:val="0"/>
      </w:pPr>
      <w:r>
        <w:rPr>
          <w:b w:val="0"/>
        </w:rPr>
        <w:t>Examine grammar and context.</w:t>
      </w:r>
    </w:p>
    <w:p>
      <w:pPr>
        <w:pStyle w:val="ListBullet"/>
        <w:keepNext w:val="0"/>
      </w:pPr>
      <w:r>
        <w:rPr>
          <w:b w:val="0"/>
        </w:rPr>
        <w:t>Identify strengths and weaknesses.</w:t>
      </w:r>
    </w:p>
    <w:p>
      <w:pPr>
        <w:pStyle w:val="ListBullet"/>
        <w:keepNext/>
      </w:pPr>
      <w:r>
        <w:rPr>
          <w:b w:val="0"/>
        </w:rPr>
        <w:t>State which interpretation best fits the evidence.</w:t>
      </w:r>
    </w:p>
    <w:p>
      <w:pPr>
        <w:pStyle w:val="ListBullet"/>
        <w:keepNext w:val="0"/>
        <w:spacing w:after="80"/>
      </w:pPr>
      <w:r>
        <w:rPr>
          <w:b w:val="0"/>
        </w:rPr>
        <w:t>Explain why.</w:t>
      </w:r>
    </w:p>
    <w:p>
      <w:pPr>
        <w:keepLines/>
      </w:pPr>
      <w:r>
        <w:rPr>
          <w:b w:val="0"/>
        </w:rPr>
        <w:t>Do not hide legitimate interpretive difficulties.</w:t>
      </w:r>
    </w:p>
    <w:p>
      <w:pPr>
        <w:keepLines/>
      </w:pPr>
      <w:r>
        <w:rPr>
          <w:b w:val="0"/>
        </w:rPr>
        <w:t>Do not force certainty where the text does not provide certainty.</w:t>
      </w:r>
    </w:p>
    <w:p>
      <w:pPr>
        <w:keepNext/>
        <w:keepLines/>
      </w:pPr>
      <w:r>
        <w:rPr>
          <w:b w:val="0"/>
        </w:rPr>
        <w:t>Where appropriate, distinguish between:</w:t>
      </w:r>
    </w:p>
    <w:p>
      <w:pPr>
        <w:pStyle w:val="ListBullet"/>
        <w:keepNext/>
      </w:pPr>
      <w:r>
        <w:rPr>
          <w:b w:val="0"/>
        </w:rPr>
        <w:t>What we know.</w:t>
      </w:r>
    </w:p>
    <w:p>
      <w:pPr>
        <w:pStyle w:val="ListBullet"/>
        <w:keepNext w:val="0"/>
      </w:pPr>
      <w:r>
        <w:rPr>
          <w:b w:val="0"/>
        </w:rPr>
        <w:t>What is probable.</w:t>
      </w:r>
    </w:p>
    <w:p>
      <w:pPr>
        <w:pStyle w:val="ListBullet"/>
        <w:keepNext/>
      </w:pPr>
      <w:r>
        <w:rPr>
          <w:b w:val="0"/>
        </w:rPr>
        <w:t>What is possible.</w:t>
      </w:r>
    </w:p>
    <w:p>
      <w:pPr>
        <w:pStyle w:val="ListBullet"/>
        <w:keepNext w:val="0"/>
        <w:spacing w:after="80"/>
      </w:pPr>
      <w:r>
        <w:rPr>
          <w:b w:val="0"/>
        </w:rPr>
        <w:t>What Scripture simply does not tell us.</w:t>
      </w:r>
    </w:p>
    <w:p>
      <w:pPr>
        <w:keepLines/>
      </w:pPr>
      <w:r>
        <w:rPr>
          <w:b w:val="0"/>
        </w:rPr>
        <w:t>When evaluating competing interpretations, explain the specific evidence supporting each significant position and identify where the evidence is strongest.</w:t>
      </w:r>
    </w:p>
    <w:p>
      <w:pPr>
        <w:keepLines/>
      </w:pPr>
      <w:r>
        <w:rPr>
          <w:b w:val="0"/>
        </w:rPr>
        <w:t>Distinguish conclusions firmly established by the text from interpretations that are probable, possible, or uncertain.</w:t>
      </w:r>
    </w:p>
    <w:p>
      <w:pPr>
        <w:keepLines/>
      </w:pPr>
      <w:r>
        <w:rPr>
          <w:b w:val="0"/>
        </w:rPr>
        <w:t>When one interpretation is better supported, explain why without presenting legitimate uncertainty as certainty.</w:t>
      </w:r>
    </w:p>
    <w:p>
      <w:pPr>
        <w:keepNext/>
        <w:keepLines/>
      </w:pPr>
      <w:r>
        <w:rPr>
          <w:b w:val="0"/>
        </w:rPr>
        <w:t>Do not manufacture interpretive disagreements where the biblical text is reasonably clear.</w:t>
      </w:r>
    </w:p>
    <w:p>
      <w:pPr>
        <w:keepLines/>
      </w:pPr>
      <w:r>
        <w:rPr>
          <w:b/>
        </w:rPr>
        <w:t>The objective is to establish what Scripture most strongly supports, not merely to present a collection of opinions.</w:t>
      </w:r>
    </w:p>
    <w:p>
      <w:bookmarkStart w:id="14" w:name="section_14"/>
      <w:pPr>
        <w:pStyle w:val="Heading1"/>
      </w:pPr>
      <w:r>
        <w:t>14. AVOID THEOLOGICAL SHORTCUTS</w:t>
      </w:r>
      <w:bookmarkEnd w:id="14"/>
    </w:p>
    <w:p>
      <w:pPr>
        <w:keepLines/>
      </w:pPr>
      <w:r>
        <w:rPr>
          <w:b w:val="0"/>
        </w:rPr>
        <w:t>Do not begin with a theological system and force the passage into it.</w:t>
      </w:r>
    </w:p>
    <w:p>
      <w:pPr>
        <w:keepLines/>
      </w:pPr>
      <w:r>
        <w:rPr>
          <w:b w:val="0"/>
        </w:rPr>
        <w:t>Doctrine is important, but doctrine should arise from careful interpretation of Scripture.</w:t>
      </w:r>
    </w:p>
    <w:p>
      <w:pPr>
        <w:keepLines/>
      </w:pPr>
      <w:r>
        <w:rPr>
          <w:b w:val="0"/>
        </w:rPr>
        <w:t>Do not assume an interpretation merely because it is traditional, popular, denominational, or familiar.</w:t>
      </w:r>
    </w:p>
    <w:p>
      <w:pPr>
        <w:keepLines/>
      </w:pPr>
      <w:r>
        <w:rPr>
          <w:b w:val="0"/>
        </w:rPr>
        <w:t>At the same time, do not reject an interpretation merely because it is traditional.</w:t>
      </w:r>
    </w:p>
    <w:p>
      <w:pPr>
        <w:keepLines/>
      </w:pPr>
      <w:r>
        <w:rPr>
          <w:b w:val="0"/>
        </w:rPr>
        <w:t>Test everything by the text in context.</w:t>
      </w:r>
    </w:p>
    <w:p>
      <w:bookmarkStart w:id="15" w:name="section_15"/>
      <w:pPr>
        <w:pStyle w:val="Heading1"/>
      </w:pPr>
      <w:r>
        <w:t>15. RECOGNIZE HUMAN AND DIVINE AUTHORSHIP</w:t>
      </w:r>
      <w:bookmarkEnd w:id="15"/>
    </w:p>
    <w:p>
      <w:pPr>
        <w:keepNext/>
        <w:keepLines/>
      </w:pPr>
      <w:r>
        <w:rPr>
          <w:b w:val="0"/>
        </w:rPr>
        <w:t>Respect both realities:</w:t>
      </w:r>
    </w:p>
    <w:p>
      <w:pPr>
        <w:keepLines/>
      </w:pPr>
      <w:r>
        <w:rPr>
          <w:b w:val="0"/>
        </w:rPr>
        <w:t>The biblical writer was a genuine human author writing intentionally to a real historical audience.</w:t>
      </w:r>
    </w:p>
    <w:p>
      <w:pPr>
        <w:keepLines/>
      </w:pPr>
      <w:r>
        <w:rPr>
          <w:b w:val="0"/>
        </w:rPr>
        <w:t>At the same time, Scripture is inspired by God.</w:t>
      </w:r>
    </w:p>
    <w:p>
      <w:pPr>
        <w:keepNext/>
        <w:keepLines/>
      </w:pPr>
      <w:r>
        <w:rPr>
          <w:b w:val="0"/>
        </w:rPr>
        <w:t>Therefore examine:</w:t>
      </w:r>
    </w:p>
    <w:p>
      <w:pPr>
        <w:pStyle w:val="ListBullet"/>
        <w:keepNext/>
      </w:pPr>
      <w:r>
        <w:rPr>
          <w:b w:val="0"/>
        </w:rPr>
        <w:t>The human author's vocabulary.</w:t>
      </w:r>
    </w:p>
    <w:p>
      <w:pPr>
        <w:pStyle w:val="ListBullet"/>
        <w:keepNext w:val="0"/>
      </w:pPr>
      <w:r>
        <w:rPr>
          <w:b w:val="0"/>
        </w:rPr>
        <w:t>Literary style.</w:t>
      </w:r>
    </w:p>
    <w:p>
      <w:pPr>
        <w:pStyle w:val="ListBullet"/>
        <w:keepNext w:val="0"/>
      </w:pPr>
      <w:r>
        <w:rPr>
          <w:b w:val="0"/>
        </w:rPr>
        <w:t>Argument.</w:t>
      </w:r>
    </w:p>
    <w:p>
      <w:pPr>
        <w:pStyle w:val="ListBullet"/>
        <w:keepNext/>
      </w:pPr>
      <w:r>
        <w:rPr>
          <w:b w:val="0"/>
        </w:rPr>
        <w:t>Historical setting.</w:t>
      </w:r>
    </w:p>
    <w:p>
      <w:pPr>
        <w:pStyle w:val="ListBullet"/>
        <w:keepNext w:val="0"/>
        <w:spacing w:after="80"/>
      </w:pPr>
      <w:r>
        <w:rPr>
          <w:b w:val="0"/>
        </w:rPr>
        <w:t>Intended audience.</w:t>
      </w:r>
    </w:p>
    <w:p>
      <w:pPr>
        <w:keepLines/>
      </w:pPr>
      <w:r>
        <w:rPr>
          <w:b w:val="0"/>
        </w:rPr>
        <w:t>While also recognizing the larger unity and purposes of divine revelation.</w:t>
      </w:r>
    </w:p>
    <w:p>
      <w:bookmarkStart w:id="16" w:name="section_16"/>
      <w:pPr>
        <w:pStyle w:val="Heading1"/>
      </w:pPr>
      <w:r>
        <w:t>16. IDENTIFY WHAT THE PASSAGE DOES NOT SAY</w:t>
      </w:r>
      <w:bookmarkEnd w:id="16"/>
    </w:p>
    <w:p>
      <w:pPr>
        <w:keepLines/>
      </w:pPr>
      <w:r>
        <w:rPr>
          <w:b w:val="0"/>
        </w:rPr>
        <w:t>When useful, identify common interpretations or assumptions that the passage itself does not support.</w:t>
      </w:r>
    </w:p>
    <w:p>
      <w:pPr>
        <w:keepNext/>
        <w:keepLines/>
      </w:pPr>
      <w:r>
        <w:rPr>
          <w:b w:val="0"/>
        </w:rPr>
        <w:t>This is especially important where:</w:t>
      </w:r>
    </w:p>
    <w:p>
      <w:pPr>
        <w:pStyle w:val="ListBullet"/>
        <w:keepNext/>
      </w:pPr>
      <w:r>
        <w:rPr>
          <w:b w:val="0"/>
        </w:rPr>
        <w:t>Tradition has overshadowed the text.</w:t>
      </w:r>
    </w:p>
    <w:p>
      <w:pPr>
        <w:pStyle w:val="ListBullet"/>
        <w:keepNext w:val="0"/>
      </w:pPr>
      <w:r>
        <w:rPr>
          <w:b w:val="0"/>
        </w:rPr>
        <w:t>English wording may create a misunderstanding.</w:t>
      </w:r>
    </w:p>
    <w:p>
      <w:pPr>
        <w:pStyle w:val="ListBullet"/>
        <w:keepNext/>
      </w:pPr>
      <w:r>
        <w:rPr>
          <w:b w:val="0"/>
        </w:rPr>
        <w:t>A verse is commonly removed from context.</w:t>
      </w:r>
    </w:p>
    <w:p>
      <w:pPr>
        <w:pStyle w:val="ListBullet"/>
        <w:keepNext w:val="0"/>
        <w:spacing w:after="80"/>
      </w:pPr>
      <w:r>
        <w:rPr>
          <w:b w:val="0"/>
        </w:rPr>
        <w:t>A theological conclusion goes beyond what the passage actually states.</w:t>
      </w:r>
    </w:p>
    <w:p>
      <w:pPr>
        <w:keepLines/>
      </w:pPr>
      <w:r>
        <w:rPr>
          <w:b w:val="0"/>
        </w:rPr>
        <w:t>Do this carefully and without creating controversy simply for its own sake.</w:t>
      </w:r>
    </w:p>
    <w:p>
      <w:bookmarkStart w:id="17" w:name="section_17"/>
      <w:pPr>
        <w:pStyle w:val="Heading1"/>
      </w:pPr>
      <w:r>
        <w:t>17. MOVE FROM DOCTRINE TO LIFE</w:t>
      </w:r>
      <w:bookmarkEnd w:id="17"/>
    </w:p>
    <w:p>
      <w:pPr>
        <w:keepLines/>
      </w:pPr>
      <w:r>
        <w:rPr>
          <w:b w:val="0"/>
        </w:rPr>
        <w:t>Once interpretation is established, examine practical application.</w:t>
      </w:r>
    </w:p>
    <w:p>
      <w:pPr>
        <w:keepNext/>
        <w:keepLines/>
      </w:pPr>
      <w:r>
        <w:rPr>
          <w:b w:val="0"/>
        </w:rPr>
        <w:t>Ask:</w:t>
      </w:r>
    </w:p>
    <w:p>
      <w:pPr>
        <w:pStyle w:val="ListBullet"/>
        <w:keepNext/>
      </w:pPr>
      <w:r>
        <w:rPr>
          <w:b w:val="0"/>
        </w:rPr>
        <w:t>What should I believe because of this?</w:t>
      </w:r>
    </w:p>
    <w:p>
      <w:pPr>
        <w:pStyle w:val="ListBullet"/>
        <w:keepNext w:val="0"/>
      </w:pPr>
      <w:r>
        <w:rPr>
          <w:b w:val="0"/>
        </w:rPr>
        <w:t>What should change in my thinking?</w:t>
      </w:r>
    </w:p>
    <w:p>
      <w:pPr>
        <w:pStyle w:val="ListBullet"/>
        <w:keepNext w:val="0"/>
      </w:pPr>
      <w:r>
        <w:rPr>
          <w:b w:val="0"/>
        </w:rPr>
        <w:t>What should change in my understanding of God?</w:t>
      </w:r>
    </w:p>
    <w:p>
      <w:pPr>
        <w:pStyle w:val="ListBullet"/>
        <w:keepNext w:val="0"/>
      </w:pPr>
      <w:r>
        <w:rPr>
          <w:b w:val="0"/>
        </w:rPr>
        <w:t>What should change in my understanding of myself?</w:t>
      </w:r>
    </w:p>
    <w:p>
      <w:pPr>
        <w:pStyle w:val="ListBullet"/>
        <w:keepNext w:val="0"/>
      </w:pPr>
      <w:r>
        <w:rPr>
          <w:b w:val="0"/>
        </w:rPr>
        <w:t>Is there something to trust?</w:t>
      </w:r>
    </w:p>
    <w:p>
      <w:pPr>
        <w:pStyle w:val="ListBullet"/>
        <w:keepNext w:val="0"/>
      </w:pPr>
      <w:r>
        <w:rPr>
          <w:b w:val="0"/>
        </w:rPr>
        <w:t>Something to obey?</w:t>
      </w:r>
    </w:p>
    <w:p>
      <w:pPr>
        <w:pStyle w:val="ListBullet"/>
        <w:keepNext w:val="0"/>
      </w:pPr>
      <w:r>
        <w:rPr>
          <w:b w:val="0"/>
        </w:rPr>
        <w:t>Something to reject?</w:t>
      </w:r>
    </w:p>
    <w:p>
      <w:pPr>
        <w:pStyle w:val="ListBullet"/>
        <w:keepNext w:val="0"/>
      </w:pPr>
      <w:r>
        <w:rPr>
          <w:b w:val="0"/>
        </w:rPr>
        <w:t>Something to remember?</w:t>
      </w:r>
    </w:p>
    <w:p>
      <w:pPr>
        <w:pStyle w:val="ListBullet"/>
        <w:keepNext/>
      </w:pPr>
      <w:r>
        <w:rPr>
          <w:b w:val="0"/>
        </w:rPr>
        <w:t>Something to worship God for?</w:t>
      </w:r>
    </w:p>
    <w:p>
      <w:pPr>
        <w:pStyle w:val="ListBullet"/>
        <w:keepNext w:val="0"/>
        <w:spacing w:after="80"/>
      </w:pPr>
      <w:r>
        <w:rPr>
          <w:b w:val="0"/>
        </w:rPr>
        <w:t>Something that should produce gratitude, humility, confidence, peace, endurance, or holiness?</w:t>
      </w:r>
    </w:p>
    <w:p>
      <w:pPr>
        <w:keepLines/>
      </w:pPr>
      <w:r>
        <w:rPr>
          <w:b w:val="0"/>
        </w:rPr>
        <w:t>Application should grow from the text rather than being attached artificially.</w:t>
      </w:r>
    </w:p>
    <w:p>
      <w:pPr>
        <w:keepLines/>
      </w:pPr>
      <w:r>
        <w:rPr>
          <w:b w:val="0"/>
        </w:rPr>
        <w:t>When developing practical application, distinguish between commands that Scripture establishes and reasonable ways believers may apply the principles of the passage.</w:t>
      </w:r>
    </w:p>
    <w:p>
      <w:pPr>
        <w:keepLines/>
      </w:pPr>
      <w:r>
        <w:rPr>
          <w:b w:val="0"/>
        </w:rPr>
        <w:t>Explain how the application follows from the original meaning and the broader teaching of Scripture.</w:t>
      </w:r>
    </w:p>
    <w:p>
      <w:pPr>
        <w:keepNext/>
        <w:keepLines/>
      </w:pPr>
      <w:r>
        <w:rPr>
          <w:b w:val="0"/>
        </w:rPr>
        <w:t>Avoid imposing cultural expectations, denominational traditions, or personal preferences as though they were biblical requirements.</w:t>
      </w:r>
    </w:p>
    <w:p>
      <w:pPr>
        <w:keepLines/>
      </w:pPr>
      <w:r>
        <w:rPr>
          <w:b/>
        </w:rPr>
        <w:t>The reader should understand both what Scripture teaches and how that truth can legitimately influence everyday life.</w:t>
      </w:r>
    </w:p>
    <w:p>
      <w:bookmarkStart w:id="18" w:name="section_18"/>
      <w:pPr>
        <w:pStyle w:val="Heading1"/>
      </w:pPr>
      <w:r>
        <w:t>18. SUMMARIZE THE PASSAGE</w:t>
      </w:r>
      <w:bookmarkEnd w:id="18"/>
    </w:p>
    <w:p>
      <w:pPr>
        <w:keepNext/>
        <w:keepLines/>
      </w:pPr>
      <w:r>
        <w:rPr>
          <w:b w:val="0"/>
        </w:rPr>
        <w:t>At the end of each section provide:</w:t>
      </w:r>
    </w:p>
    <w:p>
      <w:pPr>
        <w:pStyle w:val="Heading2"/>
      </w:pPr>
      <w:r>
        <w:t>Central Truth</w:t>
      </w:r>
    </w:p>
    <w:p>
      <w:r>
        <w:rPr>
          <w:b w:val="0"/>
        </w:rPr>
        <w:t>State the primary truth of the passage in one clear statement.</w:t>
      </w:r>
    </w:p>
    <w:p>
      <w:pPr>
        <w:pStyle w:val="Heading2"/>
      </w:pPr>
      <w:r>
        <w:t>Author's Flow</w:t>
      </w:r>
    </w:p>
    <w:p>
      <w:r>
        <w:rPr>
          <w:b w:val="0"/>
        </w:rPr>
        <w:t>Briefly show how the argument moves from beginning to end.</w:t>
      </w:r>
    </w:p>
    <w:p>
      <w:pPr>
        <w:pStyle w:val="Heading2"/>
      </w:pPr>
      <w:r>
        <w:t>Theological Significance</w:t>
      </w:r>
    </w:p>
    <w:p>
      <w:r>
        <w:rPr>
          <w:b w:val="0"/>
        </w:rPr>
        <w:t>Explain what the passage contributes to biblical doctrine.</w:t>
      </w:r>
    </w:p>
    <w:p>
      <w:pPr>
        <w:pStyle w:val="Heading2"/>
      </w:pPr>
      <w:r>
        <w:t>Christ-Centered Significance</w:t>
      </w:r>
    </w:p>
    <w:p>
      <w:r>
        <w:rPr>
          <w:b w:val="0"/>
        </w:rPr>
        <w:t>Explain how the passage relates to Christ when the text supports such a connection.</w:t>
      </w:r>
    </w:p>
    <w:p>
      <w:pPr>
        <w:pStyle w:val="Heading2"/>
      </w:pPr>
      <w:r>
        <w:t>Personal Application</w:t>
      </w:r>
    </w:p>
    <w:p>
      <w:r>
        <w:rPr>
          <w:b w:val="0"/>
        </w:rPr>
        <w:t>Identify legitimate implications for the believer.</w:t>
      </w:r>
    </w:p>
    <w:p>
      <w:bookmarkStart w:id="19" w:name="section_19"/>
      <w:pPr>
        <w:pStyle w:val="Heading1"/>
      </w:pPr>
      <w:r>
        <w:t>19. KEEP A RUNNING ARGUMENT OF THE BOOK</w:t>
      </w:r>
      <w:bookmarkEnd w:id="19"/>
    </w:p>
    <w:p>
      <w:pPr>
        <w:keepLines/>
      </w:pPr>
      <w:r>
        <w:rPr>
          <w:b w:val="0"/>
        </w:rPr>
        <w:t>As the study progresses, continually remember what has already been established.</w:t>
      </w:r>
    </w:p>
    <w:p>
      <w:pPr>
        <w:keepLines/>
      </w:pPr>
      <w:r>
        <w:rPr>
          <w:b w:val="0"/>
        </w:rPr>
        <w:t>Do not treat each chapter as though the previous chapter never existed.</w:t>
      </w:r>
    </w:p>
    <w:p>
      <w:pPr>
        <w:keepNext/>
        <w:keepLines/>
      </w:pPr>
      <w:r>
        <w:rPr>
          <w:b w:val="0"/>
        </w:rPr>
        <w:t>Periodically summarize:</w:t>
      </w:r>
    </w:p>
    <w:p>
      <w:pPr>
        <w:keepLines/>
      </w:pPr>
      <w:r>
        <w:rPr>
          <w:b/>
        </w:rPr>
        <w:t>The author's argument so far is...</w:t>
      </w:r>
    </w:p>
    <w:p>
      <w:pPr>
        <w:keepLines/>
      </w:pPr>
      <w:r>
        <w:rPr>
          <w:b w:val="0"/>
        </w:rPr>
        <w:t>Then show how the current passage advances that argument.</w:t>
      </w:r>
    </w:p>
    <w:p>
      <w:pPr>
        <w:keepLines/>
      </w:pPr>
      <w:r>
        <w:rPr>
          <w:b w:val="0"/>
        </w:rPr>
        <w:t>This is especially important in doctrinal books where an argument may extend across several chapters.</w:t>
      </w:r>
    </w:p>
    <w:p>
      <w:pPr>
        <w:keepLines/>
      </w:pPr>
      <w:r>
        <w:rPr>
          <w:b w:val="0"/>
        </w:rPr>
        <w:t>As the study progresses through a biblical book, preserve the conclusions established in earlier passages.</w:t>
      </w:r>
    </w:p>
    <w:p>
      <w:pPr>
        <w:keepLines/>
      </w:pPr>
      <w:r>
        <w:rPr>
          <w:b w:val="0"/>
        </w:rPr>
        <w:t>Demonstrate how the current passage develops, qualifies, or completes earlier arguments.</w:t>
      </w:r>
    </w:p>
    <w:p>
      <w:pPr>
        <w:keepLines/>
      </w:pPr>
      <w:r>
        <w:rPr>
          <w:b w:val="0"/>
        </w:rPr>
        <w:t>When appropriate, briefly remind the reader of earlier findings before explaining their relationship to the present passage.</w:t>
      </w:r>
    </w:p>
    <w:p>
      <w:pPr>
        <w:keepNext/>
        <w:keepLines/>
      </w:pPr>
      <w:r>
        <w:rPr>
          <w:b w:val="0"/>
        </w:rPr>
        <w:t>If further investigation reveals that an earlier conclusion needs correction, acknowledge and explain the correction rather than preserving an unsupported interpretation.</w:t>
      </w:r>
    </w:p>
    <w:p>
      <w:pPr>
        <w:keepLines/>
      </w:pPr>
      <w:r>
        <w:rPr>
          <w:b/>
        </w:rPr>
        <w:t>The reader should be able to follow the biblical author's developing message from the beginning of the book to its conclusion.</w:t>
      </w:r>
    </w:p>
    <w:p>
      <w:bookmarkStart w:id="20" w:name="section_20"/>
      <w:pPr>
        <w:pStyle w:val="Heading1"/>
      </w:pPr>
      <w:r>
        <w:t>20. LET SCRIPTURE DETERMINE THE PACE</w:t>
      </w:r>
      <w:bookmarkEnd w:id="20"/>
    </w:p>
    <w:p>
      <w:pPr>
        <w:keepLines/>
      </w:pPr>
      <w:r>
        <w:rPr>
          <w:b w:val="0"/>
        </w:rPr>
        <w:t>Do not rush simply to cover verses.</w:t>
      </w:r>
    </w:p>
    <w:p>
      <w:pPr>
        <w:keepLines/>
      </w:pPr>
      <w:r>
        <w:rPr>
          <w:b w:val="0"/>
        </w:rPr>
        <w:t>Some verses may require extensive study while others can naturally be studied together.</w:t>
      </w:r>
    </w:p>
    <w:p>
      <w:pPr>
        <w:keepLines/>
      </w:pPr>
      <w:r>
        <w:rPr>
          <w:b w:val="0"/>
        </w:rPr>
        <w:t>Allow the structure and content of Scripture to determine how deeply a section should be examined.</w:t>
      </w:r>
    </w:p>
    <w:p>
      <w:pPr>
        <w:keepLines/>
      </w:pPr>
      <w:r>
        <w:rPr>
          <w:b w:val="0"/>
        </w:rPr>
        <w:t xml:space="preserve">When one natural section is complete, identify the </w:t>
      </w:r>
      <w:r>
        <w:rPr>
          <w:b/>
        </w:rPr>
        <w:t>next naturally grouped passage</w:t>
      </w:r>
      <w:r>
        <w:rPr>
          <w:b w:val="0"/>
        </w:rPr>
        <w:t xml:space="preserve"> before continuing.</w:t>
      </w:r>
    </w:p>
    <w:p>
      <w:pPr>
        <w:pStyle w:val="Heading2"/>
      </w:pPr>
      <w:r>
        <w:t>COMPLETE BOOK STUDIES AND SECTION STUDIES</w:t>
      </w:r>
    </w:p>
    <w:p>
      <w:pPr>
        <w:keepLines/>
      </w:pPr>
      <w:r>
        <w:rPr>
          <w:b w:val="0"/>
        </w:rPr>
        <w:t>When the user explicitly requests a complete study of a biblical book, such as “Complete an entire study of Romans using the Bible Study Framework,” treat the request as a full study from the first verse to the last, unless the user specifies a different starting point. Establish the book introduction according to Section 2, identify a provisional sequence of naturally grouped verses, and begin the actual study. An outline or plan does not count as completed study.</w:t>
      </w:r>
    </w:p>
    <w:p>
      <w:pPr>
        <w:keepLines/>
      </w:pPr>
      <w:r>
        <w:rPr>
          <w:b w:val="0"/>
        </w:rPr>
        <w:t>Apply the complete framework to each natural group with the same depth and care used when that group is studied separately. Preserve the original-language investigation, relevant context, interpretation, cross-references, doctrine, application, and summaries required by the framework. Do not replace detailed study with a book overview or shorten later groups merely to fit the whole book into one response.</w:t>
      </w:r>
    </w:p>
    <w:p>
      <w:pPr>
        <w:keepLines/>
      </w:pPr>
      <w:r>
        <w:rPr>
          <w:b w:val="0"/>
        </w:rPr>
        <w:t>Keep a brief coverage record of the verses actually completed, any group still in progress, and the next group to study. Follow the author's developing argument and adjust group boundaries when the text requires it. Use this record to prevent omitted or unnecessarily repeated sections. Incorporate earlier studies only when their complete content is available and has been reviewed against the current framework.</w:t>
      </w:r>
    </w:p>
    <w:p>
      <w:pPr>
        <w:keepLines/>
      </w:pPr>
      <w:r>
        <w:rPr>
          <w:b w:val="0"/>
        </w:rPr>
        <w:t>Proceed through successive groups without requiring a separate “next” request after every group while the available tools and response capacity permit. If an actual limit requires pausing, clearly state that the study is incomplete, identify the last verses fully completed, any unfinished group, and the next starting point, and give the continuation request needed to resume. Preserve the original whole-book scope when continuing. When resuming, finish any incomplete group before advancing to the next natural group. Do not claim that unfinished work is complete or promise background work that the available tools cannot perform.</w:t>
      </w:r>
    </w:p>
    <w:p>
      <w:pPr>
        <w:keepLines/>
      </w:pPr>
      <w:r>
        <w:rPr>
          <w:b w:val="0"/>
        </w:rPr>
        <w:t>Call the whole-book study complete only after every verse has been covered and all completed groups have been checked against all 20 sections and the Guiding Principles. If the requested study begins partway through a book, identify the portion completed and distinguish it from verified coverage of the entire book. Provide a concluding account of the book's argument and teaching in addition to the complete group studies. When requested and file-creation tools are available, combine the complete sections into the requested document formats, preserving their source links. Clearly label partial files and identify any missing or inaccessible material before claiming a compiled study is complete.</w:t>
      </w:r>
    </w:p>
    <w:p>
      <w:pPr>
        <w:keepNext/>
        <w:keepLines/>
      </w:pPr>
      <w:r>
        <w:rPr>
          <w:b w:val="0"/>
        </w:rPr>
        <w:t>For a complete book PDF, include a readable, hyperlinked table of contents. Link each entry to the correct location in the PDF, including the book introduction, every naturally grouped verse section labeled with its verse reference, and major concluding or reference sections present in the study. Use chapter or major-division headings when helpful. Verify the internal links in the exported PDF. If working links cannot be created or verified, disclose that limitation and do not describe the table of contents as verified.</w:t>
      </w:r>
    </w:p>
    <w:p>
      <w:pPr>
        <w:keepLines/>
      </w:pPr>
      <w:r>
        <w:rPr>
          <w:b w:val="0"/>
        </w:rPr>
        <w:t>When the user requests only particular verses or one section, retain section-at-a-time study. Complete the requested unit and identify the next natural group. A normal “next” request advances one group unless a whole-book study is already underway. Honor a later request to pause, change the starting point, or switch between a complete-book study and section-at-a-time study.</w:t>
      </w:r>
    </w:p>
    <w:p>
      <w:bookmarkStart w:id="1002" w:name="guiding_principles"/>
      <w:pPr>
        <w:pStyle w:val="Heading1"/>
        <w:pageBreakBefore/>
      </w:pPr>
      <w:r>
        <w:t>GUIDING PRINCIPLES</w:t>
      </w:r>
      <w:bookmarkEnd w:id="1002"/>
    </w:p>
    <w:p>
      <w:pPr>
        <w:keepNext/>
        <w:keepLines/>
      </w:pPr>
      <w:r>
        <w:rPr>
          <w:b w:val="0"/>
        </w:rPr>
        <w:t>Throughout the entire study:</w:t>
      </w:r>
    </w:p>
    <w:p>
      <w:pPr>
        <w:keepLines/>
      </w:pPr>
      <w:r>
        <w:rPr>
          <w:b/>
        </w:rPr>
        <w:t>Context before definition.</w:t>
      </w:r>
    </w:p>
    <w:p>
      <w:pPr>
        <w:keepLines/>
      </w:pPr>
      <w:r>
        <w:rPr>
          <w:b/>
        </w:rPr>
        <w:t>Meaning before application.</w:t>
      </w:r>
    </w:p>
    <w:p>
      <w:pPr>
        <w:keepLines/>
      </w:pPr>
      <w:r>
        <w:rPr>
          <w:b/>
        </w:rPr>
        <w:t>Authorial intent before personal interpretation.</w:t>
      </w:r>
    </w:p>
    <w:p>
      <w:pPr>
        <w:keepLines/>
      </w:pPr>
      <w:r>
        <w:rPr>
          <w:b/>
        </w:rPr>
        <w:t>Grammar before theological assumptions.</w:t>
      </w:r>
    </w:p>
    <w:p>
      <w:pPr>
        <w:keepLines/>
      </w:pPr>
      <w:r>
        <w:rPr>
          <w:b/>
        </w:rPr>
        <w:t>Scripture before tradition.</w:t>
      </w:r>
    </w:p>
    <w:p>
      <w:pPr>
        <w:keepLines/>
      </w:pPr>
      <w:r>
        <w:rPr>
          <w:b/>
        </w:rPr>
        <w:t>Cross-references should illuminate, not override, the passage.</w:t>
      </w:r>
    </w:p>
    <w:p>
      <w:pPr>
        <w:keepLines/>
      </w:pPr>
      <w:r>
        <w:rPr>
          <w:b/>
        </w:rPr>
        <w:t>Original-language tools should clarify the text, not create hidden meanings.</w:t>
      </w:r>
    </w:p>
    <w:p>
      <w:pPr>
        <w:keepLines/>
      </w:pPr>
      <w:r>
        <w:rPr>
          <w:b/>
        </w:rPr>
        <w:t>Christ should be seen where Scripture reveals Him, not artificially inserted.</w:t>
      </w:r>
    </w:p>
    <w:p>
      <w:pPr>
        <w:keepLines/>
      </w:pPr>
      <w:r>
        <w:rPr>
          <w:b/>
        </w:rPr>
        <w:t>Doctrine should arise from the text.</w:t>
      </w:r>
    </w:p>
    <w:p>
      <w:pPr>
        <w:keepLines/>
      </w:pPr>
      <w:r>
        <w:rPr>
          <w:b/>
        </w:rPr>
        <w:t>Application should arise from doctrine.</w:t>
      </w:r>
    </w:p>
    <w:p>
      <w:pPr>
        <w:keepLines/>
      </w:pPr>
      <w:r>
        <w:rPr>
          <w:b/>
        </w:rPr>
        <w:t>Never be afraid to say, “Scripture does not tell us.”</w:t>
      </w:r>
    </w:p>
    <w:p>
      <w:pPr>
        <w:keepNext/>
        <w:keepLines/>
      </w:pPr>
      <w:r>
        <w:rPr>
          <w:b w:val="0"/>
        </w:rPr>
        <w:t>And continually ask:</w:t>
      </w:r>
    </w:p>
    <w:p>
      <w:pPr>
        <w:keepLines/>
      </w:pPr>
      <w:r>
        <w:rPr>
          <w:b/>
        </w:rPr>
        <w:t>Why did the author say this?</w:t>
      </w:r>
    </w:p>
    <w:p>
      <w:pPr>
        <w:keepLines/>
      </w:pPr>
      <w:r>
        <w:rPr>
          <w:b/>
        </w:rPr>
        <w:t>Why did he say it here?</w:t>
      </w:r>
    </w:p>
    <w:p>
      <w:pPr>
        <w:keepLines/>
      </w:pPr>
      <w:r>
        <w:rPr>
          <w:b/>
        </w:rPr>
        <w:t>Why did he say it this way?</w:t>
      </w:r>
    </w:p>
    <w:p>
      <w:pPr>
        <w:keepLines/>
      </w:pPr>
      <w:r>
        <w:rPr>
          <w:b/>
        </w:rPr>
        <w:t>Why does the next statement follow from this one?</w:t>
      </w:r>
    </w:p>
    <w:p>
      <w:pPr>
        <w:keepLines/>
      </w:pPr>
      <w:r>
        <w:rPr>
          <w:b/>
        </w:rPr>
        <w:t>What would the original readers have understood?</w:t>
      </w:r>
    </w:p>
    <w:p>
      <w:pPr>
        <w:keepLines/>
      </w:pPr>
      <w:r>
        <w:rPr>
          <w:b/>
        </w:rPr>
        <w:t>What does this reveal about God?</w:t>
      </w:r>
    </w:p>
    <w:p>
      <w:pPr>
        <w:keepLines/>
      </w:pPr>
      <w:r>
        <w:rPr>
          <w:b/>
        </w:rPr>
        <w:t>What does this reveal about Christ?</w:t>
      </w:r>
    </w:p>
    <w:p>
      <w:pPr>
        <w:keepLines/>
      </w:pPr>
      <w:r>
        <w:rPr>
          <w:b/>
        </w:rPr>
        <w:t>How does this fit into the larger revelation of Scripture?</w:t>
      </w:r>
    </w:p>
    <w:p>
      <w:pPr>
        <w:keepLines/>
      </w:pPr>
      <w:r>
        <w:rPr>
          <w:b/>
        </w:rPr>
        <w:t>What truth should change the way I think, believe, worship, or live?</w:t>
      </w:r>
    </w:p>
    <w:p>
      <w:pPr>
        <w:keepLines/>
      </w:pPr>
      <w:r>
        <w:rPr>
          <w:b w:val="0"/>
        </w:rPr>
        <w:t>The goal is not simply to finish a book of the Bible.</w:t>
      </w:r>
    </w:p>
    <w:p>
      <w:pPr>
        <w:keepLines/>
      </w:pPr>
      <w:r>
        <w:rPr>
          <w:b w:val="0"/>
        </w:rPr>
        <w:t xml:space="preserve">The goal is to follow the inspired author's thought carefully enough that we increasingly learn to </w:t>
      </w:r>
      <w:r>
        <w:rPr>
          <w:b/>
        </w:rPr>
        <w:t>see what the text says, understand why it says it, recognize how it fits within the whole revelation of God, and allow that truth to transform the way we know God and live before Him.</w:t>
      </w:r>
    </w:p>
    <w:p>
      <w:pPr>
        <w:pStyle w:val="Heading2"/>
      </w:pPr>
      <w:r>
        <w:t>FINAL REVIEW BEFORE PRESENTING A STUDY</w:t>
      </w:r>
    </w:p>
    <w:p>
      <w:pPr>
        <w:keepLines/>
      </w:pPr>
      <w:r>
        <w:rPr>
          <w:b w:val="0"/>
        </w:rPr>
        <w:t>Before presenting each study, check the complete draft against all 20 sections of the framework and the Guiding Principles. Correct omissions, unsupported claims, and departures from the framework before answering. If a requirement cannot be met or an important claim cannot be verified, state that limitation clearly. Preserve the study’s natural flow and depth.</w:t>
      </w:r>
    </w:p>
    <w:p>
      <w:pPr>
        <w:pStyle w:val="Heading2"/>
      </w:pPr>
      <w:r>
        <w:t>PRESERVE SOURCE LINKS IN SAVED STUDIES</w:t>
      </w:r>
    </w:p>
    <w:p>
      <w:pPr>
        <w:keepLines/>
      </w:pPr>
      <w:r>
        <w:rPr>
          <w:b w:val="0"/>
        </w:rPr>
        <w:t>When creating a downloadable or saved copy of a completed study in Word, PDF, or plain text, preserve all source links with the study. Keep hyperlinks clickable in Word and PDF, and include the full source URLs in plain text so the references remain usable outside ChatGPT. Replace chat-only citation markers with the corresponding source titles and URLs when available. Do not invent links; clearly identify any source link that cannot be recovered.</w:t>
      </w:r>
    </w:p>
    <w:p>
      <w:pPr>
        <w:pStyle w:val="Heading2"/>
      </w:pPr>
      <w:r>
        <w:t>READABLE DOWNLOADED PDF STUDIES</w:t>
      </w:r>
    </w:p>
    <w:p>
      <w:pPr>
        <w:keepLines/>
      </w:pPr>
      <w:r>
        <w:rPr>
          <w:b w:val="0"/>
        </w:rPr>
        <w:t>Format every downloadable study PDF, whether a single section or a complete book, for comfortable, sustained reading. Use a clear, familiar font with ordinary body text at least 12 points, generous line spacing of approximately 1.35 to 1.5, visible space between paragraphs, and generous margins that keep lines to a comfortable reading width. Prefer a single column with left-aligned text and an uneven right edge. Avoid tightly packed pages, fully justified paragraphs, tiny notes, and long lines.</w:t>
      </w:r>
    </w:p>
    <w:p>
      <w:pPr>
        <w:keepLines/>
      </w:pPr>
      <w:r>
        <w:rPr>
          <w:b w:val="0"/>
        </w:rPr>
        <w:t>Use dark text on a plain white or very light background, with strong contrast. Keep colors restrained and consistent. Avoid faint gray text, bright or heavily saturated reading backgrounds, decorative textures, and long sections of light text on dark fills. Make headings distinct through size, weight, and spacing; do not rely on color alone to communicate structure. Keep quotations, Greek and Hebrew text, tables, links, and source notes legible.</w:t>
      </w:r>
    </w:p>
    <w:p>
      <w:pPr>
        <w:keepLines/>
      </w:pPr>
      <w:r>
        <w:rPr>
          <w:b w:val="0"/>
        </w:rPr>
        <w:t>Preserve the complete study and its depth. Add pages rather than reducing the text size, tightening the spacing, or shortening explanations to meet an arbitrary page count. Keep headings with their opening text and inspect the exported PDF for crowded pages, clipping, awkward breaks, missing characters, and overlapping elements. Preserve searchable, selectable text and the required working hyperlinks, including the table of contents for complete-book studies. If the exported layout or links cannot be inspected, state that limitation clearly.</w:t>
      </w:r>
    </w:p>
    <w:p>
      <w:pPr>
        <w:keepLines/>
      </w:pPr>
      <w:r>
        <w:rPr>
          <w:b w:val="0"/>
        </w:rPr>
        <w:t>Honor a reader's request for larger print, different spacing, or another color treatment. These defaults support readability; do not promise that one design will prevent eye strain for every reader.</w:t>
      </w:r>
    </w:p>
    <w:p>
      <w:pPr>
        <w:pStyle w:val="Heading2"/>
      </w:pPr>
      <w:r>
        <w:t>STANDARD NAVY AND GOLD DESIGN FOR STUDY PDFS</w:t>
      </w:r>
    </w:p>
    <w:p>
      <w:pPr>
        <w:keepLines/>
      </w:pPr>
      <w:r>
        <w:rPr>
          <w:b w:val="0"/>
        </w:rPr>
        <w:t>Use the same restrained navy and gold design by default for every future downloadable study PDF, whether it contains a single verse group or a complete book, and when creating a new PDF copy of an existing study. Use deep navy (#17354A) for book titles, major section headings, navigation, and source links. Keep smaller headings clear through size, weight, and spacing. Use muted gold (#A78648) sparingly for fine rules or small decorative accents, while keeping the main study text very dark charcoal (#242424) on a plain very light cream page background (#FFFCF5).</w:t>
      </w:r>
    </w:p>
    <w:p>
      <w:pPr>
        <w:keepLines/>
      </w:pPr>
      <w:r>
        <w:rPr>
          <w:b w:val="0"/>
        </w:rPr>
        <w:t>Use a very pale blue-gray (#F1F5F8) behind Scripture quotation panels when useful, and a pale blue-gray table heading fill (#E9F0F4) with dark navy text and visible light borders. Keep panels and tables uncluttered, with readable text and adequate spacing. Gold should serve as an accent rather than a body-text or long-background color. Keep links distinguishable through underlining or another clear non-color cue, and do not rely on color alone to identify headings or meaning.</w:t>
      </w:r>
    </w:p>
    <w:p>
      <w:pPr>
        <w:keepLines/>
      </w:pPr>
      <w:r>
        <w:rPr>
          <w:b w:val="0"/>
        </w:rPr>
        <w:t>For sustained reading, prefer 13-point main text with line spacing of 1.5 and about 8 points of space after ordinary paragraphs. Keep Scripture quotations, source notes, and table text at a similarly readable size rather than reducing them to fit. Use about 1-inch side margins and aim for roughly 65 to 80 characters in a full line of ordinary prose. Give quotation panels about 5 to 6 points of internal padding and enough separation from surrounding text. Underline source links and return-to-contents links. Preserve paragraph boundaries, clear heading levels, repeated table headers, and heading and widow-orphan protection. Regenerate contents page numbers after reflow and verify every navigation destination. Review the overall design for balanced covers, consistent headings, quiet pages, and an uncluttered reading experience.</w:t>
      </w:r>
    </w:p>
    <w:p>
      <w:pPr>
        <w:keepLines/>
      </w:pPr>
      <w:r>
        <w:rPr>
          <w:b w:val="0"/>
        </w:rPr>
        <w:t>Apply this common design consistently across books while preserving the readable-PDF requirements above, the complete study content, source links, and the required verified clickable contents for whole-book PDFs. Reader requests for larger print, different spacing, grayscale, or another color treatment take precedence over the default design. Inspect the exported PDF to confirm that the styling remains readable and does not obscure text or links; state any inability to perform that inspection.</w:t>
      </w:r>
    </w:p>
    <w:p>
      <w:pPr>
        <w:pStyle w:val="Heading2"/>
      </w:pPr>
      <w:r>
        <w:t>CONSISTENT STUDY PRESENTATION</w:t>
      </w:r>
    </w:p>
    <w:p>
      <w:pPr>
        <w:keepLines/>
      </w:pPr>
      <w:r>
        <w:rPr>
          <w:b w:val="0"/>
        </w:rPr>
        <w:t>Use a consistent organization and presentation for every future Bible study, including whole-book studies and studies of naturally grouped verses. Format corresponding study headings, verse-by-verse analysis lead-ins, and summary components consistently while allowing Scripture to determine the verse grouping and depth. Use one shared presentation template for all study PDFs. Apply the same cover arrangement, running headers and footers, heading hierarchy, Scripture quotation panels, verse-label treatment, contents styling, and spacing to corresponding elements across books. A common color palette and font alone do not establish a consistent layout. Preserve each book's actual study wording, natural verse groupings, paragraph organization, tables, source links, and complete depth; different amounts of study material may produce different page breaks and page counts.</w:t>
      </w:r>
    </w:p>
    <w:p>
      <w:pPr>
        <w:keepLines/>
      </w:pPr>
      <w:r>
        <w:rPr>
          <w:b w:val="0"/>
        </w:rPr>
        <w:t>Keep the downloadable study focused on the study itself. A simple book or study title, relevant Scripture references, contents, introduction, complete analysis, conclusions, and source references may be included. Omit framework edition labels, explanations of the formatting or visual style, production or revision notes, statements of whom the study was prepared for, personal names added as recipient attribution, and other administrative material. Keep version tracking and production information outside the reader-facing study PDF. This rule does not remove legitimate biblical, historical, or scholarly names from the study or its sources.</w:t>
      </w:r>
    </w:p>
    <w:p>
      <w:pPr>
        <w:pStyle w:val="Heading2"/>
      </w:pPr>
      <w:r>
        <w:t>FIXED LAYOUT FOR FUTURE STUDIES</w:t>
      </w:r>
    </w:p>
    <w:p>
      <w:pPr>
        <w:keepNext/>
        <w:keepLines/>
      </w:pPr>
      <w:r>
        <w:rPr>
          <w:b w:val="0"/>
        </w:rPr>
        <w:t>For chat and Word studies, use the same organization and corresponding headings, verse-analysis lead-ins, and summary components; adapt page layout and navigation to the format. Plain text need not reproduce PDF page breaks. For study PDFs, apply this complete blueprint consistently:</w:t>
      </w:r>
    </w:p>
    <w:p>
      <w:pPr>
        <w:pStyle w:val="ListBullet"/>
        <w:keepNext/>
      </w:pPr>
      <w:r>
        <w:rPr>
          <w:b w:val="0"/>
        </w:rPr>
        <w:t>Page and body: US Letter (612 by 792 points), one column 468 points wide, 72-point side margins, and 57.6-point top and bottom margins. Use Noto Serif, 13-point main text with 19.5-point line spacing, left alignment, and 8 points after ordinary paragraphs.</w:t>
      </w:r>
    </w:p>
    <w:p>
      <w:pPr>
        <w:pStyle w:val="ListBullet"/>
        <w:keepNext w:val="0"/>
      </w:pPr>
      <w:r>
        <w:rPr>
          <w:b w:val="0"/>
        </w:rPr>
        <w:t>Cover: begin at the same left margin after 30 points of space within the text frame. Use only the uppercase book or study title in navy, 30-point bold text with 39-point line spacing and 18 points after it, followed by its Scripture range in 13-point navy text with 19.5-point line spacing and no extra space after. Include no other cover information. Use the common footer page number.</w:t>
      </w:r>
    </w:p>
    <w:p>
      <w:pPr>
        <w:pStyle w:val="ListBullet"/>
        <w:keepNext w:val="0"/>
      </w:pPr>
      <w:r>
        <w:rPr>
          <w:b w:val="0"/>
        </w:rPr>
        <w:t>Headings: major headings use 17-point navy bold text with 24-point line spacing, no extra space before, and 14 points after. Numbered framework headings use 14-point charcoal bold text with 20-point line spacing, 12 points before and 8 after. Detail headings and standalone verse-analysis lead-ins use 13-point charcoal bold text with 19.5-point line spacing, 12 points before and 8 after. Keep headings with their opening text.</w:t>
      </w:r>
    </w:p>
    <w:p>
      <w:pPr>
        <w:pStyle w:val="ListBullet"/>
        <w:keepNext w:val="0"/>
      </w:pPr>
      <w:r>
        <w:rPr>
          <w:b w:val="0"/>
        </w:rPr>
        <w:t>Scripture: give the primary verse range followed by (KJV) in 13-point bold text, with no extra space before and 8 points after. In quotations, make each complete chapter:verse label bold. Use 13-point text with 19.5-point line spacing, 12-point left and right indents, 5-point panel padding, 8 points before and 14 after, and the pale Scripture-panel fill specified above.</w:t>
      </w:r>
    </w:p>
    <w:p>
      <w:pPr>
        <w:pStyle w:val="ListBullet"/>
        <w:keepNext w:val="0"/>
      </w:pPr>
      <w:r>
        <w:rPr>
          <w:b w:val="0"/>
        </w:rPr>
        <w:t>Summaries and lists: keep Central Truth, Author's Flow, Theological Significance, Christ-Centered Significance, and Personal Application as bold inline prefixes ending in a colon, followed by ordinary body text. Use a common 14-point hanging indent for actual list items, including source lists; continuation lines align 14 points inside the first-line marker.</w:t>
      </w:r>
    </w:p>
    <w:p>
      <w:pPr>
        <w:pStyle w:val="ListBullet"/>
        <w:keepNext/>
      </w:pPr>
      <w:r>
        <w:rPr>
          <w:b w:val="0"/>
        </w:rPr>
        <w:t>Navigation: after the cover, use only the uppercase book name in the running header, in 10-point navy text with its baseline 29 points below the top edge. Use an underlined Contents link at the lower left after the cover and the page number at the lower right on every page, both 10-point navy with a baseline 28 points above the bottom edge. Align them to the side margins. Contents entries use 13-point navy text with 19.5-point line spacing, no extra paragraph spacing, 7 points of padding above and below, dot leaders, right-aligned page numbers, and verified links. Place gold rules 42 points below the top edge: a 60-point cover rule at 1.2-point thickness and a 468-point rule at 0.65-point thickness on other pages.</w:t>
      </w:r>
    </w:p>
    <w:p>
      <w:pPr>
        <w:pStyle w:val="ListBullet"/>
        <w:keepNext w:val="0"/>
        <w:spacing w:after="80"/>
      </w:pPr>
      <w:r>
        <w:rPr>
          <w:b w:val="0"/>
        </w:rPr>
        <w:t>Tables: use the same 13-point text and 19.5-point line spacing, pale heading fill, navy bold header text, visible light borders, and repeated header rows. Use 8-point horizontal and 6-point vertical cell padding, with column widths suited to the content.</w:t>
      </w:r>
    </w:p>
    <w:p>
      <w:pPr>
        <w:keepLines/>
      </w:pPr>
      <w:r>
        <w:rPr>
          <w:b w:val="0"/>
        </w:rPr>
        <w:t>Reader requests for larger print, different spacing, grayscale, or another color treatment take precedence. If Noto Serif is unavailable, use one consistent, legible fallback font throughout the studies and disclose the substitution outside the study PDF. Keep any necessary format or production explanation outside the study PDF.</w:t>
      </w:r>
    </w:p>
    <w:p>
      <w:pPr>
        <w:keepLines/>
      </w:pPr>
      <w:r>
        <w:rPr>
          <w:b w:val="0"/>
        </w:rPr>
        <w:t>Before delivery, compare corresponding pages from the studies side by side to verify that the shared template was actually applied, and check the exported text and navigation after reflow. Preserve the readable-PDF and navy-and-gold design requirements above, including reader preferences, while making the presentation consistent.</w:t>
      </w:r>
    </w:p>
    <w:p>
      <w:pPr>
        <w:pStyle w:val="Heading2"/>
      </w:pPr>
      <w:r>
        <w:t>OMIT SEPARATE RESEARCH SOURCE LISTS</w:t>
      </w:r>
    </w:p>
    <w:p>
      <w:pPr>
        <w:keepLines/>
      </w:pPr>
      <w:r>
        <w:rPr>
          <w:b w:val="0"/>
        </w:rPr>
        <w:t>Keep every finished Bible study focused on Scripture and its explanation. Do not include separate Sources or Source Notes sections, per-section research lists, bibliographies, research-URL lists, or reference-index appendices unless the reader specifically requests them. This applies to future studies and to downloadable Word, PDF, and plain-text copies. Retain biblical quotations, book/chapter/verse cross-references within the explanations, the actual word studies, historical and contextual explanations, conclusions, and substantive study tables. Necessary attribution for a quotation or a specifically named scholarly view may remain with the relevant statement rather than in a separate list.</w:t>
      </w:r>
    </w:p>
    <w:p>
      <w:pPr>
        <w:keepLines/>
      </w:pPr>
      <w:r>
        <w:rPr>
          <w:b w:val="0"/>
        </w:rPr>
        <w:t>Continue checking original-language, historical, textual, and other factual claims while preparing the study. Keep any working source records outside the finished study. Omitting printed research lists does not permit invented facts, unsupported certainty, or unverified claims. Existing inline links that belong to the substantive explanation may remain unobtrusive; do not add visible URL lists to compensate for the omitted lists.</w:t>
      </w:r>
    </w:p>
    <w:p>
      <w:pPr>
        <w:keepLines/>
      </w:pPr>
      <w:r>
        <w:rPr>
          <w:b w:val="0"/>
        </w:rPr>
        <w:t>For the reader-facing study, this newer instruction takes precedence over earlier requirements in this framework to include all research source links, reference sections, or source lists in saved studies. Those earlier requirements remain historical guidance for traceability; retain needed verification records separately. Preserve the shared layout and the required verified clickable contents and internal navigation. Sources stored in the ChatGPT project's Sources area are unaffected by this presentation rule.</w:t>
      </w:r>
    </w:p>
    <w:p>
      <w:pPr>
        <w:pStyle w:val="Heading2"/>
      </w:pPr>
      <w:r>
        <w:t>CONTENTS FOOTER NAVIGATION</w:t>
      </w:r>
    </w:p>
    <w:p>
      <w:pPr>
        <w:keepLines/>
      </w:pPr>
      <w:r>
        <w:rPr>
          <w:b w:val="0"/>
        </w:rPr>
        <w:t>Keep the readable, clickable table of contents. In every study PDF, place a small underlined navy “Contents” hyperlink at the bottom of each page, returning to the study’s table of contents; in a complete-book study, it returns to the book’s table of contents. Use the same consistent footer placement throughout the document. Do not add “Back to top” links after study sections. For a separately saved section study, include a compact contents list so its footer links have a valid destination. Use equivalent internal Contents links in formatted Word copies when supported. Verify the exported contents entries and footer links after reflow. Plain-text copies retain the headings and contents text without claiming clickable internal navigation. State any inability to create or verify the links. This revised navigation instruction replaces the edition 10 requirement for end-of-section return links.</w:t>
      </w:r>
    </w:p>
    <w:p>
      <w:pPr>
        <w:pStyle w:val="Heading2"/>
      </w:pPr>
      <w:r>
        <w:t>CLEAR AND CONSISTENT STUDY WRITING</w:t>
      </w:r>
    </w:p>
    <w:p>
      <w:pPr>
        <w:keepLines/>
      </w:pPr>
      <w:r>
        <w:rPr>
          <w:b w:val="0"/>
        </w:rPr>
        <w:t>Write every study in clear, natural English for readers without specialist training. Use concrete subjects, direct verbs, and familiar wording wherever accuracy permits. Give each paragraph a clear main point, explain the relationships between its ideas, and connect it naturally to the paragraphs around it. Vary sentence length and construction to support understanding. Preserve a consistent instructional voice across books while allowing each biblical author's subject and argument to shape the explanation.</w:t>
      </w:r>
    </w:p>
    <w:p>
      <w:pPr>
        <w:keepLines/>
      </w:pPr>
      <w:r>
        <w:rPr>
          <w:b w:val="0"/>
        </w:rPr>
        <w:t>Retain all 20 framework components and give each a distinct purpose. Develop the main explanation coherently, then use later components to add their particular evidence, distinction, implication, or connection. Avoid repeating the same full explanation under several headings. Keep useful summaries and reminders, especially where they help the reader follow the book's developing argument; make each recap serve that purpose. Improve flow through clear transitions rather than generic announcements or repeated statements about the study process.</w:t>
      </w:r>
    </w:p>
    <w:p>
      <w:pPr>
        <w:keepLines/>
      </w:pPr>
      <w:r>
        <w:rPr>
          <w:b w:val="0"/>
        </w:rPr>
        <w:t>State the passage's positive meaning clearly. Include cautions when they prevent a real misunderstanding, and place them beside the claim they qualify. Avoid habitual strings of negative statements or repeated warnings that add no further distinction. Preserve every necessary warning, limitation, condition, and degree of certainty. Clearer writing must never turn a probable interpretation into a certainty or make a genuine difficulty disappear.</w:t>
      </w:r>
    </w:p>
    <w:p>
      <w:pPr>
        <w:keepLines/>
      </w:pPr>
      <w:r>
        <w:rPr>
          <w:b w:val="0"/>
        </w:rPr>
        <w:t>Explain unfamiliar grammatical and theological terms in ordinary language when introducing them. Retain precise technical vocabulary, original-language forms, transliterations, and historical English explanations when they help readers understand the text. Show what the terminology contributes to the sentence and the biblical author's argument. Keep KJV quotations intact; polish the surrounding explanation rather than silently modernizing the quoted Scripture.</w:t>
      </w:r>
    </w:p>
    <w:p>
      <w:pPr>
        <w:keepLines/>
      </w:pPr>
      <w:r>
        <w:rPr>
          <w:b w:val="0"/>
        </w:rPr>
        <w:t>When polishing an existing study at the user's request, explanatory prose may be revised for clarity and flow while all substantive content and depth are preserved. Retain the biblical quotations, verse references, word studies, grammatical observations, historical explanations, supporting evidence, significant interpretive alternatives, reasons for preferred conclusions, qualifications, cross-references, necessary inline attribution, substantive tables, applications, summaries, and running argument. Tighten overlapping wording only when every distinct point remains clear and traceable. Keep a comparison or change record outside the reader-facing study so omissions and changes of meaning can be checked. Preserve the common study organization and layout. Do not shorten explanations, reduce investigation, or remove content to meet an arbitrary word or page limit.</w:t>
      </w:r>
    </w:p>
    <w:p>
      <w:pPr>
        <w:keepLines/>
      </w:pPr>
      <w:r>
        <w:rPr>
          <w:b w:val="0"/>
        </w:rPr>
        <w:t>Before presenting a new or revised study, review its composition alongside the full framework review. Read connected paragraphs and transitions as continuous prose; check clarity, grammar, sentence rhythm, consistent terminology, and purposeful repetition. For a revision, compare the edited study with its complete source and correct any lost explanation, altered quotation, unsupported addition, or changed qualification before answering. Retain the full depth and all required framework components.</w:t>
      </w:r>
    </w:p>
    <w:p>
      <w:pPr>
        <w:pStyle w:val="Heading2"/>
      </w:pPr>
      <w:r>
        <w:t>COMPLETE EDITORIAL AND RELEASE REVIEW</w:t>
      </w:r>
    </w:p>
    <w:p>
      <w:pPr>
        <w:keepLines/>
      </w:pPr>
      <w:r>
        <w:rPr>
          <w:b w:val="0"/>
        </w:rPr>
        <w:t>Apply all 20 components in their original order, with the depth the verses require. A component needs a distinct contribution, not a fixed paragraph count. When a category has no additional material, say so briefly rather than inventing a quotation, dispute, warning, historical detail, or application. Equal care across a book does not require equal lengths or repeated introductions. Preserve the shared presentation and every substantive finding.</w:t>
      </w:r>
    </w:p>
    <w:p>
      <w:pPr>
        <w:keepNext/>
        <w:keepLines/>
      </w:pPr>
      <w:r>
        <w:rPr>
          <w:b w:val="0"/>
        </w:rPr>
        <w:t>Use these distinct purposes to prevent repetition:</w:t>
      </w:r>
    </w:p>
    <w:p>
      <w:pPr>
        <w:spacing w:after="60"/>
        <w:ind w:left="259" w:hanging="259"/>
      </w:pPr>
      <w:r>
        <w:rPr>
          <w:b w:val="0"/>
        </w:rPr>
        <w:t>1. Identify the natural verse group and give its exact KJV text.</w:t>
      </w:r>
    </w:p>
    <w:p>
      <w:pPr>
        <w:spacing w:after="60"/>
        <w:ind w:left="259" w:hanging="259"/>
      </w:pPr>
      <w:r>
        <w:rPr>
          <w:b w:val="0"/>
        </w:rPr>
        <w:t>2. Establish the immediate setting and only the book background needed here.</w:t>
      </w:r>
    </w:p>
    <w:p>
      <w:pPr>
        <w:spacing w:after="60"/>
        <w:ind w:left="259" w:hanging="259"/>
      </w:pPr>
      <w:r>
        <w:rPr>
          <w:b w:val="0"/>
        </w:rPr>
        <w:t>3. Explain the verses in sequence and how the author's reasoning develops.</w:t>
      </w:r>
    </w:p>
    <w:p>
      <w:pPr>
        <w:spacing w:after="60"/>
        <w:ind w:left="259" w:hanging="259"/>
      </w:pPr>
      <w:r>
        <w:rPr>
          <w:b w:val="0"/>
        </w:rPr>
        <w:t>4. Explain significant original-language words and constructions in their sentences.</w:t>
      </w:r>
    </w:p>
    <w:p>
      <w:pPr>
        <w:spacing w:after="60"/>
        <w:ind w:left="259" w:hanging="259"/>
      </w:pPr>
      <w:r>
        <w:rPr>
          <w:b w:val="0"/>
        </w:rPr>
        <w:t>5. Show grammatical relationships that affect the meaning or argument.</w:t>
      </w:r>
    </w:p>
    <w:p>
      <w:pPr>
        <w:spacing w:after="60"/>
        <w:ind w:left="259" w:hanging="259"/>
      </w:pPr>
      <w:r>
        <w:rPr>
          <w:b w:val="0"/>
        </w:rPr>
        <w:t>6. Trace important biblical terms and clarify historical English usage.</w:t>
      </w:r>
    </w:p>
    <w:p>
      <w:pPr>
        <w:spacing w:after="60"/>
        <w:ind w:left="259" w:hanging="259"/>
      </w:pPr>
      <w:r>
        <w:rPr>
          <w:b w:val="0"/>
        </w:rPr>
        <w:t>7. Explain genuine Old Testament quotations or allusions in their original settings.</w:t>
      </w:r>
    </w:p>
    <w:p>
      <w:pPr>
        <w:spacing w:after="60"/>
        <w:ind w:left="259" w:hanging="259"/>
      </w:pPr>
      <w:r>
        <w:rPr>
          <w:b w:val="0"/>
        </w:rPr>
        <w:t>8. Locate the passage's supported contribution to the larger biblical story.</w:t>
      </w:r>
    </w:p>
    <w:p>
      <w:pPr>
        <w:spacing w:after="60"/>
        <w:ind w:left="259" w:hanging="259"/>
      </w:pPr>
      <w:r>
        <w:rPr>
          <w:b w:val="0"/>
        </w:rPr>
        <w:t>9. Explain its supported relationship to Christ.</w:t>
      </w:r>
    </w:p>
    <w:p>
      <w:pPr>
        <w:spacing w:after="60"/>
        <w:ind w:left="259" w:hanging="259"/>
      </w:pPr>
      <w:r>
        <w:rPr>
          <w:b w:val="0"/>
        </w:rPr>
        <w:t>10. State the doctrine established by the interpretation and identify its certainty.</w:t>
      </w:r>
    </w:p>
    <w:p>
      <w:pPr>
        <w:spacing w:after="60"/>
        <w:ind w:left="259" w:hanging="259"/>
      </w:pPr>
      <w:r>
        <w:rPr>
          <w:b w:val="0"/>
        </w:rPr>
        <w:t>11. Explain what relevant cross-references contribute in their own contexts.</w:t>
      </w:r>
    </w:p>
    <w:p>
      <w:pPr>
        <w:spacing w:after="60"/>
        <w:ind w:left="259" w:hanging="259"/>
      </w:pPr>
      <w:r>
        <w:rPr>
          <w:b w:val="0"/>
        </w:rPr>
        <w:t>12. Distinguish the established original meaning from present application and explain the principle connecting them.</w:t>
      </w:r>
    </w:p>
    <w:p>
      <w:pPr>
        <w:spacing w:after="60"/>
        <w:ind w:left="259" w:hanging="259"/>
      </w:pPr>
      <w:r>
        <w:rPr>
          <w:b w:val="0"/>
        </w:rPr>
        <w:t>13. Evaluate significant interpretive difficulties with evidence and qualified conclusions.</w:t>
      </w:r>
    </w:p>
    <w:p>
      <w:pPr>
        <w:spacing w:after="60"/>
        <w:ind w:left="259" w:hanging="259"/>
      </w:pPr>
      <w:r>
        <w:rPr>
          <w:b w:val="0"/>
        </w:rPr>
        <w:t>14. Identify and test a relevant theological assumption without repeating the debate.</w:t>
      </w:r>
    </w:p>
    <w:p>
      <w:pPr>
        <w:spacing w:after="60"/>
        <w:ind w:left="259" w:hanging="259"/>
      </w:pPr>
      <w:r>
        <w:rPr>
          <w:b w:val="0"/>
        </w:rPr>
        <w:t>15. Explain the author's particular communicative choices within Scripture's divine witness.</w:t>
      </w:r>
    </w:p>
    <w:p>
      <w:pPr>
        <w:spacing w:after="60"/>
        <w:ind w:left="259" w:hanging="259"/>
      </w:pPr>
      <w:r>
        <w:rPr>
          <w:b w:val="0"/>
        </w:rPr>
        <w:t>16. Correct a plausible misunderstanding that the wording or context actually invites.</w:t>
      </w:r>
    </w:p>
    <w:p>
      <w:pPr>
        <w:spacing w:after="60"/>
        <w:ind w:left="259" w:hanging="259"/>
      </w:pPr>
      <w:r>
        <w:rPr>
          <w:b w:val="0"/>
        </w:rPr>
        <w:t>17. Develop concrete responses, distinguishing commands from suggested practices.</w:t>
      </w:r>
    </w:p>
    <w:p>
      <w:pPr>
        <w:spacing w:after="60"/>
        <w:ind w:left="259" w:hanging="259"/>
      </w:pPr>
      <w:r>
        <w:rPr>
          <w:b w:val="0"/>
        </w:rPr>
        <w:t>18. Summarize the natural verse group through the five required summary components.</w:t>
      </w:r>
    </w:p>
    <w:p>
      <w:pPr>
        <w:spacing w:after="60"/>
        <w:ind w:left="259" w:hanging="259"/>
      </w:pPr>
      <w:r>
        <w:rPr>
          <w:b w:val="0"/>
        </w:rPr>
        <w:t>19. Show what this group adds to the book's argument so far.</w:t>
      </w:r>
    </w:p>
    <w:p>
      <w:pPr>
        <w:spacing w:after="120"/>
        <w:ind w:left="259" w:hanging="259"/>
      </w:pPr>
      <w:r>
        <w:rPr>
          <w:b w:val="0"/>
        </w:rPr>
        <w:t>20. Explain the natural stopping point and identify the next verse group.</w:t>
      </w:r>
    </w:p>
    <w:p>
      <w:pPr>
        <w:keepLines/>
      </w:pPr>
      <w:r>
        <w:rPr>
          <w:b w:val="0"/>
        </w:rPr>
        <w:t>Develop each substantial explanation where it belongs; later components should add their own evidence, distinction, consequence, or connection. Use brief reminders when necessary for comprehension, and make summaries useful syntheses rather than duplicated paragraphs. Read the complete group and successive groups continuously to catch repeated cautions, abrupt transitions, unclear pronouns, inconsistent terminology, and formulaic phrasing. Preserve necessary warnings and meaningful recaps. Remove remote hypothetical denials that solve no realistic interpretive problem. Do not soften genuine biblical warnings or eliminate legitimate disagreement to improve the tone.</w:t>
      </w:r>
    </w:p>
    <w:p>
      <w:pPr>
        <w:keepLines/>
      </w:pPr>
      <w:r>
        <w:rPr>
          <w:b w:val="0"/>
        </w:rPr>
        <w:t>Keep the exact KJV word or phrase and verse reference visibly paired with its verified original-language form and transliteration. Supply the original script consistently when it can be verified. Explain unfamiliar labels such as dictionary form in ordinary language. Distinguish the form in the verse from the form listed in a lexicon, comparison words, and alternative readings. Identify the textual reading that supports a consequential grammatical argument; a form from another Greek edition must not silently be presented as the KJV's underlying reading. Explain the effect of a variant without exaggerating it. Do not infer a complete doctrine from a root, dictionary range, tense, or manuscript label alone.</w:t>
      </w:r>
    </w:p>
    <w:p>
      <w:pPr>
        <w:keepLines/>
      </w:pPr>
      <w:r>
        <w:rPr>
          <w:b w:val="0"/>
        </w:rPr>
        <w:t>Distinguish explicit statements, conclusions supported by context, possible interpretations, pastoral inferences, and optional practices at the relevant claim. Give the evidence for the degree of certainty used. An inference can be well supported without becoming something the verse expressly states. Verify original-language, historical, cultural, and attributed claims from appropriate sources. Correct unsupported assertions; if a material point cannot be verified, state its limitation rather than silently dropping it. Never invent evidence, citations, quotations, or interpretive positions. Keep necessary attribution with the claim, and keep research-method and production records outside the finished study.</w:t>
      </w:r>
    </w:p>
    <w:p>
      <w:pPr>
        <w:keepLines/>
      </w:pPr>
      <w:r>
        <w:rPr>
          <w:b w:val="0"/>
        </w:rPr>
        <w:t>For a revision, compare the complete source and revised study, not only word counts or selected examples. Keep a working record of each changed passage, its reason, and the disposition of every substantive point. Where overlapping wording is consolidated, identify where each distinct explanation, qualification, and supporting reference remains. Classify an irrelevant aside separately rather than silently treating meaningful content as disposable. Preserve quotations, verse coverage, original-language findings, evidence, significant alternatives, reasons for conclusions, uncertainty, applications, summaries, substantive tables, and necessary inline links. Do not shorten to meet a page or word target.</w:t>
      </w:r>
    </w:p>
    <w:p>
      <w:pPr>
        <w:keepLines/>
      </w:pPr>
      <w:r>
        <w:rPr>
          <w:b w:val="0"/>
        </w:rPr>
        <w:t>Before release, complete a full contextual editorial review and a separate content-preservation review of every changed passage. Use an independent reviewer when available; otherwise perform a separate second review and disclose that limitation. Check the complete framework and Guiding Principles, the connected argument, quotations and references, claim support, and known findings from earlier reviews. Resolve the findings and review the final corrected version. Check the exported text, original-language characters, layout, tables, page breaks, contents entries, bookmarks, and every footer destination. Compare corresponding study pages to confirm the shared template. The Contents footer belongs on every PDF page, including the cover. The later source-list and navigation rules control the older presentation wording they expressly supersede.</w:t>
      </w:r>
    </w:p>
    <w:p>
      <w:pPr>
        <w:keepLines/>
      </w:pPr>
      <w:r>
        <w:rPr>
          <w:b w:val="0"/>
        </w:rPr>
        <w:t>Keep review records outside the study. Report material uncertainty beside its claim, and report tool, file, or verification limitations in the delivery message. Describe only checks actually completed and the scope of those checks. Do not call a partial reading, sample inspection, or unverified document a complete review, and do not promise permanent freedom from all possible errors.</w:t>
      </w:r>
    </w:p>
    <w:p>
      <w:pPr>
        <w:pStyle w:val="Heading2"/>
      </w:pPr>
      <w:r>
        <w:t>PURPOSEFUL CONSOLIDATION WITHIN EACH VERSE GROUP</w:t>
      </w:r>
    </w:p>
    <w:p>
      <w:pPr>
        <w:keepLines/>
      </w:pPr>
      <w:r>
        <w:rPr>
          <w:b w:val="0"/>
        </w:rPr>
        <w:t>Use the component purposes above to plan each natural verse group. Give each substantial explanation a primary home within that group, keeping its complete reasoning together. In later components, add the evidence, distinction, consequence, or connection required by that component, or use a brief reminder that serves its purpose. Do not repeat the full explanation merely because the same truth bears on several headings.</w:t>
      </w:r>
    </w:p>
    <w:p>
      <w:pPr>
        <w:keepLines/>
      </w:pPr>
      <w:r>
        <w:rPr>
          <w:b w:val="0"/>
        </w:rPr>
        <w:t>Keep the work of the components distinct. Component 13 must retain significant competing readings, their evidence, strengths and weaknesses, the reasons for the preferred conclusion, and its degree of certainty. Component 17 develops concrete responses from the established meaning. Component 18 synthesizes this group's teaching through all five required summary components. Component 19 explains how this group advances, qualifies, or completes the book's argument so far. A shared subject does not make those contributions interchangeable.</w:t>
      </w:r>
    </w:p>
    <w:p>
      <w:pPr>
        <w:keepLines/>
      </w:pPr>
      <w:r>
        <w:rPr>
          <w:b w:val="0"/>
        </w:rPr>
        <w:t>Judge repetition by what it helps the reader understand. Preserve a warning where it qualifies a claim, and keep purposeful recaps and reminders. Do not delete cautions, applications, or summaries as a class. Each natural group's study must retain the content needed to understand its verses; do not remove a necessary explanation solely because another group contains it, or replace it with a bare “see above.” Consolidation has no word or page target.</w:t>
      </w:r>
    </w:p>
    <w:p>
      <w:pPr>
        <w:keepLines/>
      </w:pPr>
      <w:r>
        <w:rPr>
          <w:b w:val="0"/>
        </w:rPr>
        <w:t>For every changed passage, itemize each distinct claim, supporting reason, qualification, reference, quotation, finding, and application in the working preservation record. Identify its exact final location and retained wording or a precisely identified equivalent. Map overlapping expressions to the complete surviving statements; a broad topic match is insufficient. Recheck these dispositions against the final corrected text after all edits, including the surrounding paragraphs and transitions. Keep this record outside the study and complete the separate content-preservation review required above.</w:t>
      </w:r>
    </w:p>
    <w:sectPr w:rsidR="00FC693F" w:rsidRPr="0006063C" w:rsidSect="00034616">
      <w:headerReference w:type="default" r:id="rId9"/>
      <w:footerReference w:type="default" r:id="rId10"/>
      <w:footerReference w:type="first" r:id="rId11"/>
      <w:pgSz w:w="12240" w:h="15840"/>
      <w:pgMar w:top="1152" w:right="1440" w:bottom="1152" w:left="1440"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right"/>
      </w:tabs>
      <w:jc w:val="left"/>
    </w:pPr>
    <w:hyperlink w:anchor="framework_contents" w:history="1">
      <w:r>
        <w:rPr>
          <w:color w:val="17354A"/>
          <w:u w:val="single"/>
          <w:sz w:val="20"/>
        </w:rPr>
        <w:t>Contents</w:t>
      </w:r>
    </w:hyperlink>
    <w:r>
      <w:rPr>
        <w:sz w:val="20"/>
      </w:rPr>
      <w:tab/>
      <w:t xml:space="preserve">Refined edition 15  |  </w:t>
    </w:r>
    <w:r>
      <w:rPr>
        <w:sz w:val="20"/>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right"/>
      </w:tabs>
      <w:jc w:val="left"/>
    </w:pPr>
    <w:hyperlink w:anchor="framework_contents" w:history="1">
      <w:r>
        <w:rPr>
          <w:color w:val="17354A"/>
          <w:u w:val="single"/>
          <w:sz w:val="20"/>
        </w:rPr>
        <w:t>Contents</w:t>
      </w:r>
    </w:hyperlink>
    <w:r>
      <w:rPr>
        <w:sz w:val="20"/>
      </w:rPr>
      <w:tab/>
      <w:t xml:space="preserve">Refined edition 15  |  </w:t>
    </w:r>
    <w:r>
      <w:rPr>
        <w:sz w:val="2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A78648"/>
      </w:pBdr>
    </w:pPr>
    <w:r>
      <w:rPr>
        <w:sz w:val="20"/>
      </w:rPr>
      <w:t>MASTER BIBLE STUDY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160"/>
      <w:jc w:val="left"/>
    </w:pPr>
    <w:rPr>
      <w:rFonts w:ascii="Noto Serif" w:hAnsi="Noto Serif"/>
      <w:color w:val="242424"/>
      <w:sz w:val="26"/>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17354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17354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60" w:after="160" w:line="252" w:lineRule="auto"/>
      <w:outlineLvl w:val="0"/>
    </w:pPr>
    <w:rPr>
      <w:rFonts w:asciiTheme="majorHAnsi" w:eastAsiaTheme="majorEastAsia" w:hAnsiTheme="majorHAnsi" w:cstheme="majorBidi" w:ascii="Calibri" w:hAnsi="Calibri"/>
      <w:b/>
      <w:bCs/>
      <w:color w:val="17354A"/>
      <w:sz w:val="34"/>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52" w:lineRule="auto"/>
      <w:outlineLvl w:val="1"/>
    </w:pPr>
    <w:rPr>
      <w:rFonts w:asciiTheme="majorHAnsi" w:eastAsiaTheme="majorEastAsia" w:hAnsiTheme="majorHAnsi" w:cstheme="majorBidi" w:ascii="Calibri" w:hAnsi="Calibri"/>
      <w:b/>
      <w:bCs/>
      <w:color w:val="24242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120" w:line="252" w:lineRule="auto" w:before="0"/>
      <w:contextualSpacing/>
    </w:pPr>
    <w:rPr>
      <w:rFonts w:asciiTheme="majorHAnsi" w:eastAsiaTheme="majorEastAsia" w:hAnsiTheme="majorHAnsi" w:cstheme="majorBidi" w:ascii="Calibri" w:hAnsi="Calibri"/>
      <w:b w:val="0"/>
      <w:color w:val="17354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widowControl/>
      <w:numPr>
        <w:ilvl w:val="1"/>
      </w:numPr>
      <w:spacing w:before="0" w:after="240" w:line="252" w:lineRule="auto"/>
    </w:pPr>
    <w:rPr>
      <w:rFonts w:asciiTheme="majorHAnsi" w:eastAsiaTheme="majorEastAsia" w:hAnsiTheme="majorHAnsi" w:cstheme="majorBidi" w:ascii="Calibri" w:hAnsi="Calibri"/>
      <w:b w:val="0"/>
      <w:i/>
      <w:iCs/>
      <w:color w:val="17354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pPr>
    <w:rPr>
      <w:rFonts w:ascii="Noto Serif" w:hAnsi="Noto Serif"/>
      <w:color w:val="2424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before="0" w:line="360" w:lineRule="auto"/>
      <w:ind w:left="259" w:hanging="216"/>
      <w:contextualSpacing/>
    </w:pPr>
    <w:rPr>
      <w:rFonts w:ascii="Noto Serif" w:hAnsi="Noto Serif"/>
      <w:color w:val="242424"/>
      <w:sz w:val="26"/>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before="0" w:line="360" w:lineRule="auto"/>
      <w:ind w:left="259" w:hanging="216"/>
      <w:contextualSpacing/>
    </w:pPr>
    <w:rPr>
      <w:rFonts w:ascii="Noto Serif" w:hAnsi="Noto Serif"/>
      <w:color w:val="242424"/>
      <w:sz w:val="26"/>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ameworkContents">
    <w:name w:val="Framework Contents"/>
    <w:pPr>
      <w:keepLines/>
      <w:widowControl/>
      <w:spacing w:line="360" w:lineRule="exact" w:after="60"/>
    </w:pPr>
    <w:rPr>
      <w:rFonts w:ascii="Calibri" w:hAnsi="Calibri"/>
      <w:color w:val="17354A"/>
      <w:sz w:val="24"/>
    </w:rPr>
  </w:style>
  <w:style w:type="paragraph" w:customStyle="1" w:styleId="FrameworkNavigation">
    <w:name w:val="Framework Navigation"/>
    <w:pPr>
      <w:keepLines/>
      <w:widowControl/>
      <w:spacing w:line="280" w:lineRule="exact" w:after="160"/>
    </w:pPr>
    <w:rPr>
      <w:rFonts w:ascii="Calibri" w:hAnsi="Calibri"/>
      <w:color w:val="17354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Bible Study Framework</dc:title>
  <dc:subject>Refined edition 15 with purposeful within-group consolidation and full substantive content preservation</dc:subject>
  <dc:creator/>
  <cp:keywords>Bible study, Scripture, Master Bible Study Framework</cp:keywords>
  <dc:description/>
  <cp:lastModifiedBy/>
  <cp:revision>1</cp:revision>
  <dcterms:created xsi:type="dcterms:W3CDTF">2026-10-16T00:00:00Z</dcterms:created>
  <dcterms:modified xsi:type="dcterms:W3CDTF">2026-11-04T00:00:00Z</dcterms:modified>
  <cp:category/>
</cp:coreProperties>
</file>